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47E" w:rsidRDefault="006848E8">
      <w:pPr>
        <w:spacing w:line="240" w:lineRule="auto"/>
      </w:pPr>
      <w:bookmarkStart w:id="0" w:name="_GoBack"/>
      <w:bookmarkEnd w:id="0"/>
      <w:r>
        <w:rPr>
          <w:b/>
          <w:bCs/>
        </w:rPr>
        <w:t xml:space="preserve">Pupil Premium Grant Plan 2016-17 evaluation </w:t>
      </w:r>
    </w:p>
    <w:tbl>
      <w:tblPr>
        <w:tblW w:w="10220" w:type="dxa"/>
        <w:tblInd w:w="-598" w:type="dxa"/>
        <w:tblLook w:val="04A0" w:firstRow="1" w:lastRow="0" w:firstColumn="1" w:lastColumn="0" w:noHBand="0" w:noVBand="1"/>
      </w:tblPr>
      <w:tblGrid>
        <w:gridCol w:w="5413"/>
        <w:gridCol w:w="4807"/>
      </w:tblGrid>
      <w:tr w:rsidR="002C347E">
        <w:trPr>
          <w:trHeight w:val="360"/>
        </w:trPr>
        <w:tc>
          <w:tcPr>
            <w:tcW w:w="10220"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2C347E" w:rsidRDefault="006848E8">
            <w:pPr>
              <w:spacing w:after="0" w:line="240" w:lineRule="auto"/>
              <w:jc w:val="center"/>
              <w:rPr>
                <w:rFonts w:eastAsia="Times New Roman" w:cs="Arial"/>
                <w:b/>
                <w:bCs/>
                <w:color w:val="000000"/>
              </w:rPr>
            </w:pPr>
            <w:r>
              <w:rPr>
                <w:rFonts w:eastAsia="Times New Roman" w:cs="Arial"/>
                <w:b/>
                <w:bCs/>
                <w:color w:val="000000"/>
              </w:rPr>
              <w:t>Number of pupils and pupil premium grant (PPG) received 2016</w:t>
            </w:r>
          </w:p>
        </w:tc>
      </w:tr>
      <w:tr w:rsidR="002C347E">
        <w:trPr>
          <w:trHeight w:val="360"/>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2C347E" w:rsidRDefault="006848E8">
            <w:pPr>
              <w:spacing w:after="0" w:line="240" w:lineRule="auto"/>
              <w:rPr>
                <w:rFonts w:eastAsia="Times New Roman" w:cs="Arial"/>
                <w:b/>
                <w:bCs/>
                <w:color w:val="000000"/>
              </w:rPr>
            </w:pPr>
            <w:r>
              <w:rPr>
                <w:rFonts w:eastAsia="Times New Roman" w:cs="Arial"/>
                <w:b/>
                <w:bCs/>
                <w:color w:val="000000"/>
              </w:rPr>
              <w:t>Total number of pupils on roll (Jan 2017)</w:t>
            </w:r>
          </w:p>
        </w:tc>
        <w:tc>
          <w:tcPr>
            <w:tcW w:w="4807" w:type="dxa"/>
            <w:tcBorders>
              <w:top w:val="nil"/>
              <w:left w:val="nil"/>
              <w:bottom w:val="single" w:sz="4" w:space="0" w:color="auto"/>
              <w:right w:val="single" w:sz="4" w:space="0" w:color="auto"/>
            </w:tcBorders>
            <w:shd w:val="clear" w:color="auto" w:fill="auto"/>
            <w:vAlign w:val="center"/>
            <w:hideMark/>
          </w:tcPr>
          <w:p w:rsidR="002C347E" w:rsidRDefault="006848E8">
            <w:pPr>
              <w:spacing w:after="0" w:line="240" w:lineRule="auto"/>
              <w:jc w:val="center"/>
              <w:rPr>
                <w:rFonts w:eastAsia="Times New Roman" w:cs="Arial"/>
                <w:b/>
                <w:bCs/>
                <w:color w:val="000000"/>
              </w:rPr>
            </w:pPr>
            <w:r>
              <w:rPr>
                <w:rFonts w:eastAsia="Times New Roman" w:cs="Arial"/>
                <w:b/>
                <w:bCs/>
                <w:color w:val="000000"/>
              </w:rPr>
              <w:t>690 </w:t>
            </w:r>
          </w:p>
        </w:tc>
      </w:tr>
      <w:tr w:rsidR="002C347E">
        <w:trPr>
          <w:trHeight w:val="360"/>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2C347E" w:rsidRDefault="006848E8">
            <w:pPr>
              <w:spacing w:after="0" w:line="240" w:lineRule="auto"/>
              <w:rPr>
                <w:rFonts w:eastAsia="Times New Roman" w:cs="Arial"/>
                <w:b/>
                <w:bCs/>
                <w:color w:val="000000"/>
              </w:rPr>
            </w:pPr>
            <w:r>
              <w:rPr>
                <w:rFonts w:eastAsia="Times New Roman" w:cs="Arial"/>
                <w:b/>
                <w:bCs/>
                <w:color w:val="000000"/>
              </w:rPr>
              <w:t>Total number of pupils eligible for PPG</w:t>
            </w:r>
          </w:p>
        </w:tc>
        <w:tc>
          <w:tcPr>
            <w:tcW w:w="4807" w:type="dxa"/>
            <w:tcBorders>
              <w:top w:val="nil"/>
              <w:left w:val="nil"/>
              <w:bottom w:val="single" w:sz="4" w:space="0" w:color="auto"/>
              <w:right w:val="single" w:sz="4" w:space="0" w:color="auto"/>
            </w:tcBorders>
            <w:shd w:val="clear" w:color="auto" w:fill="auto"/>
            <w:vAlign w:val="center"/>
            <w:hideMark/>
          </w:tcPr>
          <w:p w:rsidR="002C347E" w:rsidRDefault="006848E8">
            <w:pPr>
              <w:spacing w:after="0" w:line="240" w:lineRule="auto"/>
              <w:jc w:val="center"/>
              <w:rPr>
                <w:rFonts w:eastAsia="Times New Roman" w:cs="Arial"/>
                <w:b/>
                <w:bCs/>
                <w:color w:val="000000"/>
              </w:rPr>
            </w:pPr>
            <w:r>
              <w:rPr>
                <w:rFonts w:eastAsia="Times New Roman" w:cs="Arial"/>
                <w:b/>
                <w:bCs/>
                <w:color w:val="000000"/>
              </w:rPr>
              <w:t>356 (51.6%)</w:t>
            </w:r>
          </w:p>
        </w:tc>
      </w:tr>
      <w:tr w:rsidR="002C347E">
        <w:trPr>
          <w:trHeight w:val="360"/>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2C347E" w:rsidRDefault="006848E8">
            <w:pPr>
              <w:spacing w:after="0" w:line="240" w:lineRule="auto"/>
              <w:rPr>
                <w:rFonts w:eastAsia="Times New Roman" w:cs="Arial"/>
                <w:b/>
                <w:bCs/>
                <w:color w:val="000000"/>
              </w:rPr>
            </w:pPr>
            <w:r>
              <w:rPr>
                <w:rFonts w:eastAsia="Times New Roman" w:cs="Arial"/>
                <w:b/>
                <w:bCs/>
                <w:color w:val="000000"/>
              </w:rPr>
              <w:t xml:space="preserve">Amount of PPG received per pupil </w:t>
            </w:r>
          </w:p>
        </w:tc>
        <w:tc>
          <w:tcPr>
            <w:tcW w:w="4807" w:type="dxa"/>
            <w:tcBorders>
              <w:top w:val="nil"/>
              <w:left w:val="nil"/>
              <w:bottom w:val="single" w:sz="4" w:space="0" w:color="auto"/>
              <w:right w:val="single" w:sz="4" w:space="0" w:color="auto"/>
            </w:tcBorders>
            <w:shd w:val="clear" w:color="auto" w:fill="auto"/>
            <w:vAlign w:val="center"/>
            <w:hideMark/>
          </w:tcPr>
          <w:p w:rsidR="002C347E" w:rsidRDefault="006848E8">
            <w:pPr>
              <w:spacing w:after="0" w:line="240" w:lineRule="auto"/>
              <w:jc w:val="center"/>
              <w:rPr>
                <w:rFonts w:eastAsia="Times New Roman" w:cs="Arial"/>
                <w:b/>
                <w:bCs/>
                <w:color w:val="000000"/>
              </w:rPr>
            </w:pPr>
            <w:r>
              <w:rPr>
                <w:rFonts w:eastAsia="Times New Roman" w:cs="Arial"/>
                <w:b/>
                <w:bCs/>
                <w:color w:val="000000"/>
              </w:rPr>
              <w:t>£930 </w:t>
            </w:r>
          </w:p>
        </w:tc>
      </w:tr>
      <w:tr w:rsidR="002C347E">
        <w:trPr>
          <w:trHeight w:val="360"/>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2C347E" w:rsidRDefault="006848E8">
            <w:pPr>
              <w:spacing w:after="0" w:line="240" w:lineRule="auto"/>
              <w:rPr>
                <w:rFonts w:eastAsia="Times New Roman" w:cs="Arial"/>
                <w:b/>
                <w:bCs/>
                <w:color w:val="000000"/>
              </w:rPr>
            </w:pPr>
            <w:r>
              <w:rPr>
                <w:rFonts w:eastAsia="Times New Roman" w:cs="Arial"/>
                <w:b/>
                <w:bCs/>
                <w:color w:val="000000"/>
              </w:rPr>
              <w:t>Total amount of PPG received 2016/2017</w:t>
            </w:r>
          </w:p>
        </w:tc>
        <w:tc>
          <w:tcPr>
            <w:tcW w:w="4807" w:type="dxa"/>
            <w:tcBorders>
              <w:top w:val="nil"/>
              <w:left w:val="nil"/>
              <w:bottom w:val="single" w:sz="4" w:space="0" w:color="auto"/>
              <w:right w:val="single" w:sz="4" w:space="0" w:color="auto"/>
            </w:tcBorders>
            <w:shd w:val="clear" w:color="auto" w:fill="auto"/>
            <w:vAlign w:val="center"/>
            <w:hideMark/>
          </w:tcPr>
          <w:p w:rsidR="002C347E" w:rsidRDefault="006848E8">
            <w:pPr>
              <w:spacing w:after="0" w:line="240" w:lineRule="auto"/>
              <w:jc w:val="center"/>
              <w:rPr>
                <w:rFonts w:eastAsia="Times New Roman" w:cs="Arial"/>
                <w:b/>
                <w:bCs/>
                <w:color w:val="000000"/>
              </w:rPr>
            </w:pPr>
            <w:r>
              <w:rPr>
                <w:rFonts w:eastAsia="Times New Roman" w:cs="Arial"/>
                <w:b/>
                <w:bCs/>
                <w:color w:val="000000"/>
              </w:rPr>
              <w:t> £331,110</w:t>
            </w:r>
          </w:p>
        </w:tc>
      </w:tr>
    </w:tbl>
    <w:p w:rsidR="002C347E" w:rsidRDefault="002C347E">
      <w:pPr>
        <w:spacing w:line="240" w:lineRule="auto"/>
        <w:ind w:right="-624"/>
        <w:rPr>
          <w:color w:val="AF1512"/>
        </w:rPr>
      </w:pPr>
    </w:p>
    <w:p w:rsidR="002C347E" w:rsidRDefault="006848E8">
      <w:pPr>
        <w:spacing w:line="240" w:lineRule="auto"/>
        <w:ind w:left="-964" w:right="-964"/>
        <w:rPr>
          <w:lang w:val="en-US"/>
        </w:rPr>
      </w:pPr>
      <w:r>
        <w:rPr>
          <w:lang w:val="en-US"/>
        </w:rPr>
        <w:t>Last year 51% of our students at Cedar Mount Academy were eligible for the Pupil Premium Grant which is higher than the national figure.  Cedar Mount recognizes that each individual student has different needs, concerns and aspirations and we aim to ensure the best outcomes for everyone irrelevant of their background and disadvantages. For some students, this may be supporting their progress in reading, whilst for others it may be providing support for individual music lessons, or University visits. The Academy is committed to closing the attainment and achievement gap across a range of measures for our disadvantaged pupils particularly, and the funding will be used to support this aim.  We recognize the attainment gap between our disadvantaged students and their peers exists.  Please refer to the Pupil Premium action plan to see how the academy is strategically planning to remove the gap by 2018/19.</w:t>
      </w:r>
    </w:p>
    <w:p w:rsidR="002C347E" w:rsidRDefault="006848E8">
      <w:pPr>
        <w:spacing w:line="240" w:lineRule="auto"/>
        <w:ind w:left="-964" w:right="-964"/>
        <w:rPr>
          <w:b/>
          <w:color w:val="AF1512"/>
        </w:rPr>
      </w:pPr>
      <w:r>
        <w:rPr>
          <w:b/>
          <w:lang w:val="en-US"/>
        </w:rPr>
        <w:t xml:space="preserve">Outcomes </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3969"/>
        <w:gridCol w:w="2208"/>
        <w:gridCol w:w="2440"/>
      </w:tblGrid>
      <w:tr w:rsidR="002C347E" w:rsidTr="000B4A30">
        <w:trPr>
          <w:trHeight w:val="354"/>
          <w:jc w:val="center"/>
        </w:trPr>
        <w:tc>
          <w:tcPr>
            <w:tcW w:w="1413" w:type="dxa"/>
            <w:vMerge w:val="restart"/>
            <w:shd w:val="clear" w:color="auto" w:fill="A6A6A6" w:themeFill="background1" w:themeFillShade="A6"/>
            <w:vAlign w:val="center"/>
          </w:tcPr>
          <w:p w:rsidR="002C347E" w:rsidRDefault="006848E8">
            <w:pPr>
              <w:pStyle w:val="NoSpacing"/>
              <w:jc w:val="center"/>
              <w:rPr>
                <w:b/>
              </w:rPr>
            </w:pPr>
            <w:r>
              <w:rPr>
                <w:b/>
              </w:rPr>
              <w:t>Data Set</w:t>
            </w:r>
          </w:p>
        </w:tc>
        <w:tc>
          <w:tcPr>
            <w:tcW w:w="3969" w:type="dxa"/>
            <w:vMerge w:val="restart"/>
            <w:shd w:val="clear" w:color="auto" w:fill="A6A6A6" w:themeFill="background1" w:themeFillShade="A6"/>
            <w:vAlign w:val="center"/>
          </w:tcPr>
          <w:p w:rsidR="002C347E" w:rsidRDefault="006848E8">
            <w:pPr>
              <w:pStyle w:val="NoSpacing"/>
              <w:jc w:val="center"/>
              <w:rPr>
                <w:b/>
              </w:rPr>
            </w:pPr>
            <w:r>
              <w:rPr>
                <w:b/>
              </w:rPr>
              <w:t>Outcomes</w:t>
            </w:r>
          </w:p>
          <w:p w:rsidR="002C347E" w:rsidRDefault="006848E8">
            <w:pPr>
              <w:pStyle w:val="NoSpacing"/>
              <w:jc w:val="center"/>
              <w:rPr>
                <w:b/>
              </w:rPr>
            </w:pPr>
            <w:r>
              <w:rPr>
                <w:b/>
              </w:rPr>
              <w:t>2015/16</w:t>
            </w:r>
          </w:p>
        </w:tc>
        <w:tc>
          <w:tcPr>
            <w:tcW w:w="4648" w:type="dxa"/>
            <w:gridSpan w:val="2"/>
            <w:shd w:val="clear" w:color="auto" w:fill="A6A6A6" w:themeFill="background1" w:themeFillShade="A6"/>
            <w:vAlign w:val="center"/>
          </w:tcPr>
          <w:p w:rsidR="002C347E" w:rsidRDefault="006848E8">
            <w:pPr>
              <w:pStyle w:val="NoSpacing"/>
              <w:jc w:val="center"/>
              <w:rPr>
                <w:b/>
              </w:rPr>
            </w:pPr>
            <w:r>
              <w:rPr>
                <w:b/>
              </w:rPr>
              <w:t>Outcomes 2016/ 2017</w:t>
            </w:r>
          </w:p>
        </w:tc>
      </w:tr>
      <w:tr w:rsidR="002C347E" w:rsidTr="000B4A30">
        <w:trPr>
          <w:trHeight w:val="151"/>
          <w:jc w:val="center"/>
        </w:trPr>
        <w:tc>
          <w:tcPr>
            <w:tcW w:w="1413" w:type="dxa"/>
            <w:vMerge/>
            <w:shd w:val="clear" w:color="auto" w:fill="A6A6A6" w:themeFill="background1" w:themeFillShade="A6"/>
            <w:vAlign w:val="center"/>
          </w:tcPr>
          <w:p w:rsidR="002C347E" w:rsidRDefault="002C347E">
            <w:pPr>
              <w:pStyle w:val="NoSpacing"/>
              <w:jc w:val="center"/>
              <w:rPr>
                <w:b/>
              </w:rPr>
            </w:pPr>
          </w:p>
        </w:tc>
        <w:tc>
          <w:tcPr>
            <w:tcW w:w="3969" w:type="dxa"/>
            <w:vMerge/>
            <w:shd w:val="clear" w:color="auto" w:fill="A6A6A6" w:themeFill="background1" w:themeFillShade="A6"/>
            <w:vAlign w:val="center"/>
          </w:tcPr>
          <w:p w:rsidR="002C347E" w:rsidRDefault="002C347E">
            <w:pPr>
              <w:pStyle w:val="NoSpacing"/>
              <w:jc w:val="center"/>
              <w:rPr>
                <w:b/>
              </w:rPr>
            </w:pPr>
          </w:p>
        </w:tc>
        <w:tc>
          <w:tcPr>
            <w:tcW w:w="2208" w:type="dxa"/>
            <w:shd w:val="clear" w:color="auto" w:fill="A6A6A6" w:themeFill="background1" w:themeFillShade="A6"/>
            <w:vAlign w:val="center"/>
          </w:tcPr>
          <w:p w:rsidR="002C347E" w:rsidRDefault="006848E8">
            <w:pPr>
              <w:pStyle w:val="NoSpacing"/>
              <w:jc w:val="center"/>
              <w:rPr>
                <w:b/>
              </w:rPr>
            </w:pPr>
            <w:r>
              <w:rPr>
                <w:b/>
              </w:rPr>
              <w:t>9-5</w:t>
            </w:r>
          </w:p>
        </w:tc>
        <w:tc>
          <w:tcPr>
            <w:tcW w:w="2440" w:type="dxa"/>
            <w:shd w:val="clear" w:color="auto" w:fill="A6A6A6" w:themeFill="background1" w:themeFillShade="A6"/>
            <w:vAlign w:val="center"/>
          </w:tcPr>
          <w:p w:rsidR="002C347E" w:rsidRDefault="006848E8">
            <w:pPr>
              <w:pStyle w:val="NoSpacing"/>
              <w:jc w:val="center"/>
              <w:rPr>
                <w:b/>
              </w:rPr>
            </w:pPr>
            <w:r>
              <w:rPr>
                <w:b/>
              </w:rPr>
              <w:t>9-4</w:t>
            </w:r>
          </w:p>
        </w:tc>
      </w:tr>
      <w:tr w:rsidR="002C347E" w:rsidTr="000B4A30">
        <w:trPr>
          <w:trHeight w:val="717"/>
          <w:jc w:val="center"/>
        </w:trPr>
        <w:tc>
          <w:tcPr>
            <w:tcW w:w="1413" w:type="dxa"/>
            <w:vAlign w:val="center"/>
          </w:tcPr>
          <w:p w:rsidR="002C347E" w:rsidRDefault="006848E8">
            <w:pPr>
              <w:pStyle w:val="NoSpacing"/>
              <w:jc w:val="center"/>
              <w:rPr>
                <w:b/>
              </w:rPr>
            </w:pPr>
            <w:r>
              <w:rPr>
                <w:b/>
              </w:rPr>
              <w:t>Basics</w:t>
            </w:r>
          </w:p>
          <w:p w:rsidR="002C347E" w:rsidRDefault="006848E8">
            <w:pPr>
              <w:pStyle w:val="NoSpacing"/>
              <w:jc w:val="center"/>
              <w:rPr>
                <w:b/>
              </w:rPr>
            </w:pPr>
            <w:r>
              <w:rPr>
                <w:b/>
              </w:rPr>
              <w:t>(A*-C E&amp;M)</w:t>
            </w:r>
          </w:p>
        </w:tc>
        <w:tc>
          <w:tcPr>
            <w:tcW w:w="3969" w:type="dxa"/>
            <w:shd w:val="clear" w:color="auto" w:fill="auto"/>
            <w:vAlign w:val="center"/>
          </w:tcPr>
          <w:p w:rsidR="002C347E" w:rsidRDefault="000B4A30">
            <w:pPr>
              <w:pStyle w:val="NoSpacing"/>
              <w:jc w:val="center"/>
            </w:pPr>
            <w:r>
              <w:t>ALL 28.1</w:t>
            </w:r>
            <w:r w:rsidR="006848E8">
              <w:t>%</w:t>
            </w:r>
          </w:p>
          <w:p w:rsidR="002C347E" w:rsidRDefault="000B4A30">
            <w:pPr>
              <w:pStyle w:val="NoSpacing"/>
              <w:jc w:val="center"/>
            </w:pPr>
            <w:r>
              <w:t>PP 27.6</w:t>
            </w:r>
            <w:r w:rsidR="006848E8">
              <w:t>%</w:t>
            </w:r>
          </w:p>
          <w:p w:rsidR="002C347E" w:rsidRDefault="000B4A30">
            <w:pPr>
              <w:pStyle w:val="NoSpacing"/>
              <w:jc w:val="center"/>
            </w:pPr>
            <w:r>
              <w:t xml:space="preserve">Non-PP </w:t>
            </w:r>
            <w:r w:rsidR="006848E8">
              <w:t xml:space="preserve"> 30%</w:t>
            </w:r>
          </w:p>
          <w:p w:rsidR="002C347E" w:rsidRDefault="000B4A30">
            <w:pPr>
              <w:pStyle w:val="NoSpacing"/>
              <w:jc w:val="center"/>
            </w:pPr>
            <w:r>
              <w:t>Internal Gap -</w:t>
            </w:r>
            <w:r w:rsidR="006848E8">
              <w:t>2.4%</w:t>
            </w:r>
          </w:p>
          <w:p w:rsidR="002C347E" w:rsidRDefault="000B4A30">
            <w:pPr>
              <w:pStyle w:val="NoSpacing"/>
              <w:jc w:val="center"/>
            </w:pPr>
            <w:r>
              <w:t xml:space="preserve">National Gap </w:t>
            </w:r>
            <w:r w:rsidR="006848E8">
              <w:t xml:space="preserve"> 42%</w:t>
            </w:r>
          </w:p>
        </w:tc>
        <w:tc>
          <w:tcPr>
            <w:tcW w:w="2208" w:type="dxa"/>
            <w:vAlign w:val="center"/>
          </w:tcPr>
          <w:p w:rsidR="002C347E" w:rsidRDefault="000B4A30">
            <w:pPr>
              <w:pStyle w:val="NoSpacing"/>
              <w:jc w:val="center"/>
            </w:pPr>
            <w:r>
              <w:t>ALL 15.7</w:t>
            </w:r>
            <w:r w:rsidR="006848E8">
              <w:t>%</w:t>
            </w:r>
          </w:p>
          <w:p w:rsidR="002C347E" w:rsidRDefault="000B4A30">
            <w:pPr>
              <w:pStyle w:val="NoSpacing"/>
              <w:jc w:val="center"/>
            </w:pPr>
            <w:r>
              <w:t>PP 10.3</w:t>
            </w:r>
            <w:r w:rsidR="006848E8">
              <w:t>%</w:t>
            </w:r>
          </w:p>
          <w:p w:rsidR="002C347E" w:rsidRDefault="000B4A30">
            <w:pPr>
              <w:pStyle w:val="NoSpacing"/>
              <w:jc w:val="center"/>
            </w:pPr>
            <w:r>
              <w:t>Non-PP 23.4</w:t>
            </w:r>
            <w:r w:rsidR="006848E8">
              <w:t>%</w:t>
            </w:r>
          </w:p>
          <w:p w:rsidR="002C347E" w:rsidRDefault="006848E8">
            <w:pPr>
              <w:pStyle w:val="NoSpacing"/>
              <w:jc w:val="center"/>
            </w:pPr>
            <w:r>
              <w:t xml:space="preserve">Internal </w:t>
            </w:r>
            <w:r w:rsidR="000B4A30">
              <w:t>Gap -</w:t>
            </w:r>
            <w:r>
              <w:t>13.1%</w:t>
            </w:r>
          </w:p>
          <w:p w:rsidR="002C347E" w:rsidRDefault="006848E8">
            <w:pPr>
              <w:pStyle w:val="NoSpacing"/>
              <w:jc w:val="center"/>
            </w:pPr>
            <w:r>
              <w:t>National Gap (All Students) 31.9%</w:t>
            </w:r>
          </w:p>
        </w:tc>
        <w:tc>
          <w:tcPr>
            <w:tcW w:w="2440" w:type="dxa"/>
            <w:vAlign w:val="center"/>
          </w:tcPr>
          <w:p w:rsidR="002C347E" w:rsidRDefault="000B4A30">
            <w:pPr>
              <w:pStyle w:val="NoSpacing"/>
              <w:jc w:val="center"/>
            </w:pPr>
            <w:r>
              <w:t>ALL 30.4</w:t>
            </w:r>
            <w:r w:rsidR="006848E8">
              <w:t>%</w:t>
            </w:r>
          </w:p>
          <w:p w:rsidR="002C347E" w:rsidRDefault="000B4A30">
            <w:pPr>
              <w:pStyle w:val="NoSpacing"/>
              <w:jc w:val="center"/>
            </w:pPr>
            <w:r>
              <w:t>PP 22.1</w:t>
            </w:r>
            <w:r w:rsidR="006848E8">
              <w:t>%</w:t>
            </w:r>
          </w:p>
          <w:p w:rsidR="002C347E" w:rsidRDefault="000B4A30">
            <w:pPr>
              <w:pStyle w:val="NoSpacing"/>
              <w:jc w:val="center"/>
            </w:pPr>
            <w:r>
              <w:t>Non-PP 42.6</w:t>
            </w:r>
            <w:r w:rsidR="006848E8">
              <w:t>%</w:t>
            </w:r>
          </w:p>
          <w:p w:rsidR="002C347E" w:rsidRDefault="000B4A30">
            <w:pPr>
              <w:pStyle w:val="NoSpacing"/>
              <w:jc w:val="center"/>
            </w:pPr>
            <w:r>
              <w:t>Internal Gap -</w:t>
            </w:r>
            <w:r w:rsidR="006848E8">
              <w:t>20.5%</w:t>
            </w:r>
          </w:p>
          <w:p w:rsidR="002C347E" w:rsidRDefault="006848E8">
            <w:pPr>
              <w:pStyle w:val="NoSpacing"/>
              <w:jc w:val="center"/>
            </w:pPr>
            <w:r>
              <w:t>National Gap (All Students) 41%</w:t>
            </w:r>
          </w:p>
        </w:tc>
      </w:tr>
      <w:tr w:rsidR="002C347E" w:rsidTr="000B4A30">
        <w:trPr>
          <w:trHeight w:val="717"/>
          <w:jc w:val="center"/>
        </w:trPr>
        <w:tc>
          <w:tcPr>
            <w:tcW w:w="1413" w:type="dxa"/>
            <w:vAlign w:val="center"/>
          </w:tcPr>
          <w:p w:rsidR="002C347E" w:rsidRDefault="006848E8">
            <w:pPr>
              <w:pStyle w:val="NoSpacing"/>
              <w:jc w:val="center"/>
              <w:rPr>
                <w:b/>
              </w:rPr>
            </w:pPr>
            <w:r>
              <w:rPr>
                <w:b/>
              </w:rPr>
              <w:t>Progress 8</w:t>
            </w:r>
          </w:p>
        </w:tc>
        <w:tc>
          <w:tcPr>
            <w:tcW w:w="3969" w:type="dxa"/>
            <w:shd w:val="clear" w:color="auto" w:fill="auto"/>
            <w:vAlign w:val="center"/>
          </w:tcPr>
          <w:p w:rsidR="002C347E" w:rsidRDefault="000B4A30">
            <w:pPr>
              <w:pStyle w:val="NoSpacing"/>
              <w:jc w:val="center"/>
            </w:pPr>
            <w:r>
              <w:t>ALL -</w:t>
            </w:r>
            <w:r w:rsidR="006848E8">
              <w:t>0.87</w:t>
            </w:r>
          </w:p>
          <w:p w:rsidR="002C347E" w:rsidRDefault="000B4A30">
            <w:pPr>
              <w:pStyle w:val="NoSpacing"/>
              <w:jc w:val="center"/>
            </w:pPr>
            <w:r>
              <w:t>PP -</w:t>
            </w:r>
            <w:r w:rsidR="006848E8">
              <w:t>1.13</w:t>
            </w:r>
          </w:p>
          <w:p w:rsidR="002C347E" w:rsidRDefault="006848E8">
            <w:pPr>
              <w:pStyle w:val="NoSpacing"/>
              <w:jc w:val="center"/>
            </w:pPr>
            <w:r>
              <w:t>Non-PP 0.05</w:t>
            </w:r>
          </w:p>
          <w:p w:rsidR="002C347E" w:rsidRDefault="006848E8" w:rsidP="000B4A30">
            <w:pPr>
              <w:pStyle w:val="NoSpacing"/>
              <w:jc w:val="center"/>
            </w:pPr>
            <w:r>
              <w:t>Internal Gap– (PP Vs Non-PP) -1.18</w:t>
            </w:r>
          </w:p>
          <w:p w:rsidR="002C347E" w:rsidRDefault="006848E8">
            <w:pPr>
              <w:pStyle w:val="NoSpacing"/>
              <w:jc w:val="center"/>
            </w:pPr>
            <w:r>
              <w:t>National Gap  -1.25</w:t>
            </w:r>
          </w:p>
        </w:tc>
        <w:tc>
          <w:tcPr>
            <w:tcW w:w="4648" w:type="dxa"/>
            <w:gridSpan w:val="2"/>
            <w:vAlign w:val="center"/>
          </w:tcPr>
          <w:p w:rsidR="002C347E" w:rsidRDefault="000B4A30">
            <w:pPr>
              <w:pStyle w:val="NoSpacing"/>
              <w:jc w:val="center"/>
            </w:pPr>
            <w:r>
              <w:t>ALL -</w:t>
            </w:r>
            <w:r w:rsidR="006848E8">
              <w:t>0.82</w:t>
            </w:r>
          </w:p>
          <w:p w:rsidR="002C347E" w:rsidRDefault="000B4A30">
            <w:pPr>
              <w:pStyle w:val="NoSpacing"/>
              <w:jc w:val="center"/>
            </w:pPr>
            <w:r>
              <w:t>PP -</w:t>
            </w:r>
            <w:r w:rsidR="006848E8">
              <w:t>1.02</w:t>
            </w:r>
          </w:p>
          <w:p w:rsidR="002C347E" w:rsidRDefault="006848E8">
            <w:pPr>
              <w:pStyle w:val="NoSpacing"/>
              <w:jc w:val="center"/>
            </w:pPr>
            <w:r>
              <w:t>Non-</w:t>
            </w:r>
            <w:r w:rsidR="000B4A30">
              <w:t>PP -</w:t>
            </w:r>
            <w:r>
              <w:t>0.4</w:t>
            </w:r>
          </w:p>
          <w:p w:rsidR="002C347E" w:rsidRDefault="006848E8">
            <w:pPr>
              <w:pStyle w:val="NoSpacing"/>
              <w:jc w:val="center"/>
            </w:pPr>
            <w:r>
              <w:t xml:space="preserve">Internal Gap </w:t>
            </w:r>
            <w:r w:rsidR="000B4A30">
              <w:t>– (</w:t>
            </w:r>
            <w:r>
              <w:t>PP Vs Non-PP) 0.62</w:t>
            </w:r>
          </w:p>
          <w:p w:rsidR="002C347E" w:rsidRDefault="006848E8">
            <w:pPr>
              <w:pStyle w:val="NoSpacing"/>
              <w:jc w:val="center"/>
            </w:pPr>
            <w:r>
              <w:t>National Non PP data pending</w:t>
            </w:r>
          </w:p>
        </w:tc>
      </w:tr>
    </w:tbl>
    <w:p w:rsidR="002C347E" w:rsidRDefault="002C347E">
      <w:pPr>
        <w:spacing w:line="240" w:lineRule="auto"/>
        <w:ind w:right="-964"/>
        <w:rPr>
          <w:b/>
        </w:rPr>
      </w:pPr>
    </w:p>
    <w:p w:rsidR="002C347E" w:rsidRDefault="006848E8">
      <w:pPr>
        <w:spacing w:line="240" w:lineRule="auto"/>
        <w:ind w:left="-964" w:right="-964"/>
        <w:rPr>
          <w:b/>
        </w:rPr>
      </w:pPr>
      <w:r>
        <w:rPr>
          <w:b/>
        </w:rPr>
        <w:t>Nature of Support 2017/18:</w:t>
      </w:r>
    </w:p>
    <w:p w:rsidR="002C347E" w:rsidRDefault="006848E8">
      <w:pPr>
        <w:pStyle w:val="NoSpacing"/>
        <w:numPr>
          <w:ilvl w:val="0"/>
          <w:numId w:val="2"/>
        </w:numPr>
        <w:ind w:right="-964"/>
      </w:pPr>
      <w:r>
        <w:t>Appointment of an Associate Assistant Vice Principal with the responsibility for Pupil Premium Students.</w:t>
      </w:r>
    </w:p>
    <w:p w:rsidR="002C347E" w:rsidRDefault="006848E8">
      <w:pPr>
        <w:pStyle w:val="NoSpacing"/>
        <w:numPr>
          <w:ilvl w:val="0"/>
          <w:numId w:val="2"/>
        </w:numPr>
        <w:ind w:right="-964"/>
      </w:pPr>
      <w:r>
        <w:t>Developing links with GM Higher to increase the number of students accessing FE and HE.</w:t>
      </w:r>
    </w:p>
    <w:p w:rsidR="002C347E" w:rsidRDefault="006848E8">
      <w:pPr>
        <w:pStyle w:val="NoSpacing"/>
        <w:numPr>
          <w:ilvl w:val="0"/>
          <w:numId w:val="2"/>
        </w:numPr>
        <w:ind w:right="-964"/>
      </w:pPr>
      <w:r>
        <w:t xml:space="preserve">Developing a peer mentoring programme across the academy to support with reading. </w:t>
      </w:r>
    </w:p>
    <w:p w:rsidR="002C347E" w:rsidRDefault="006848E8">
      <w:pPr>
        <w:pStyle w:val="NoSpacing"/>
        <w:numPr>
          <w:ilvl w:val="0"/>
          <w:numId w:val="2"/>
        </w:numPr>
        <w:ind w:right="-964"/>
      </w:pPr>
      <w:r>
        <w:t>Class reading intervention to take place in progress time.</w:t>
      </w:r>
    </w:p>
    <w:p w:rsidR="002C347E" w:rsidRDefault="006848E8">
      <w:pPr>
        <w:pStyle w:val="NoSpacing"/>
        <w:numPr>
          <w:ilvl w:val="0"/>
          <w:numId w:val="2"/>
        </w:numPr>
        <w:ind w:right="-964"/>
      </w:pPr>
      <w:r>
        <w:t>Outside the classroom learning programme to build confidence and develop resilience amongst PP students.</w:t>
      </w:r>
    </w:p>
    <w:p w:rsidR="002C347E" w:rsidRDefault="006848E8">
      <w:pPr>
        <w:pStyle w:val="NoSpacing"/>
        <w:numPr>
          <w:ilvl w:val="0"/>
          <w:numId w:val="2"/>
        </w:numPr>
        <w:ind w:right="-964"/>
      </w:pPr>
      <w:r>
        <w:t>Raising Attainment Panel meetings with a focus on disadvantaged students progress.</w:t>
      </w:r>
    </w:p>
    <w:p w:rsidR="002C347E" w:rsidRDefault="006848E8">
      <w:pPr>
        <w:pStyle w:val="NoSpacing"/>
        <w:numPr>
          <w:ilvl w:val="0"/>
          <w:numId w:val="2"/>
        </w:numPr>
        <w:ind w:right="-964"/>
      </w:pPr>
      <w:r>
        <w:t>Pupil Premium CPD cycle for all staff focussing on strategies to narrow the attainment gap.</w:t>
      </w:r>
    </w:p>
    <w:p w:rsidR="002C347E" w:rsidRDefault="006848E8">
      <w:pPr>
        <w:pStyle w:val="NoSpacing"/>
        <w:numPr>
          <w:ilvl w:val="0"/>
          <w:numId w:val="2"/>
        </w:numPr>
        <w:ind w:right="-964"/>
      </w:pPr>
      <w:r>
        <w:t>Develop a PP development group with PP champions who meet regularly with clear agendas on closing the gap.</w:t>
      </w:r>
    </w:p>
    <w:p w:rsidR="002C347E" w:rsidRDefault="006848E8">
      <w:pPr>
        <w:pStyle w:val="NoSpacing"/>
        <w:numPr>
          <w:ilvl w:val="0"/>
          <w:numId w:val="2"/>
        </w:numPr>
        <w:ind w:right="-964"/>
        <w:rPr>
          <w:rFonts w:cs="Calibri"/>
          <w:lang w:val="en-US"/>
        </w:rPr>
      </w:pPr>
      <w:r>
        <w:rPr>
          <w:rFonts w:cs="Calibri"/>
          <w:lang w:val="en-US"/>
        </w:rPr>
        <w:t xml:space="preserve">All KS4 PP high ability pupils to be placed on High Ability Pupil Initiative.  </w:t>
      </w:r>
    </w:p>
    <w:p w:rsidR="002C347E" w:rsidRDefault="006848E8">
      <w:pPr>
        <w:pStyle w:val="NoSpacing"/>
        <w:numPr>
          <w:ilvl w:val="0"/>
          <w:numId w:val="2"/>
        </w:numPr>
        <w:ind w:right="-964"/>
      </w:pPr>
      <w:r>
        <w:t>Develop SIMS interventions module to track and monitor PP student participation to visits and trips.</w:t>
      </w:r>
    </w:p>
    <w:p w:rsidR="002C347E" w:rsidRDefault="006848E8">
      <w:pPr>
        <w:pStyle w:val="NoSpacing"/>
        <w:numPr>
          <w:ilvl w:val="0"/>
          <w:numId w:val="2"/>
        </w:numPr>
        <w:ind w:right="-964"/>
      </w:pPr>
      <w:r>
        <w:t>Progress Leaders and Assistant Progress Leaders review progress, attendance and behaviour weekly and identify students at risk of underachievement.</w:t>
      </w:r>
    </w:p>
    <w:p w:rsidR="002C347E" w:rsidRPr="00CF18E0" w:rsidRDefault="006848E8" w:rsidP="00CF18E0">
      <w:pPr>
        <w:pStyle w:val="NoSpacing"/>
        <w:numPr>
          <w:ilvl w:val="0"/>
          <w:numId w:val="2"/>
        </w:numPr>
        <w:ind w:right="-964"/>
        <w:sectPr w:rsidR="002C347E" w:rsidRPr="00CF18E0">
          <w:headerReference w:type="default" r:id="rId8"/>
          <w:pgSz w:w="11906" w:h="16838"/>
          <w:pgMar w:top="1440" w:right="1440" w:bottom="1440" w:left="1440" w:header="708" w:footer="708" w:gutter="0"/>
          <w:cols w:space="708"/>
          <w:docGrid w:linePitch="360"/>
        </w:sectPr>
      </w:pPr>
      <w:r>
        <w:rPr>
          <w:rFonts w:cs="Calibri"/>
          <w:lang w:val="en-US"/>
        </w:rPr>
        <w:t>An attendance panel established each half term for PP students with poor attendance.</w:t>
      </w:r>
    </w:p>
    <w:p w:rsidR="00097070" w:rsidRDefault="00097070" w:rsidP="00097070">
      <w:pPr>
        <w:widowControl w:val="0"/>
        <w:tabs>
          <w:tab w:val="left" w:pos="990"/>
        </w:tabs>
        <w:autoSpaceDE w:val="0"/>
        <w:autoSpaceDN w:val="0"/>
        <w:adjustRightInd w:val="0"/>
        <w:spacing w:after="240" w:line="240" w:lineRule="auto"/>
        <w:rPr>
          <w:b/>
        </w:rPr>
      </w:pPr>
      <w:r>
        <w:rPr>
          <w:noProof/>
        </w:rPr>
        <w:lastRenderedPageBreak/>
        <w:drawing>
          <wp:anchor distT="0" distB="0" distL="114300" distR="114300" simplePos="0" relativeHeight="251667456" behindDoc="1" locked="0" layoutInCell="1" allowOverlap="1" wp14:anchorId="3CAC4C58" wp14:editId="38F98DAE">
            <wp:simplePos x="0" y="0"/>
            <wp:positionH relativeFrom="column">
              <wp:posOffset>-680720</wp:posOffset>
            </wp:positionH>
            <wp:positionV relativeFrom="paragraph">
              <wp:posOffset>473710</wp:posOffset>
            </wp:positionV>
            <wp:extent cx="4719955" cy="4411980"/>
            <wp:effectExtent l="0" t="0" r="4445" b="7620"/>
            <wp:wrapTight wrapText="bothSides">
              <wp:wrapPolygon edited="0">
                <wp:start x="0" y="0"/>
                <wp:lineTo x="0" y="21544"/>
                <wp:lineTo x="21533" y="21544"/>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719955" cy="4411980"/>
                    </a:xfrm>
                    <a:prstGeom prst="rect">
                      <a:avLst/>
                    </a:prstGeom>
                  </pic:spPr>
                </pic:pic>
              </a:graphicData>
            </a:graphic>
            <wp14:sizeRelH relativeFrom="page">
              <wp14:pctWidth>0</wp14:pctWidth>
            </wp14:sizeRelH>
            <wp14:sizeRelV relativeFrom="page">
              <wp14:pctHeight>0</wp14:pctHeight>
            </wp14:sizeRelV>
          </wp:anchor>
        </w:drawing>
      </w:r>
      <w:r w:rsidR="008211A6">
        <w:rPr>
          <w:b/>
        </w:rPr>
        <w:t xml:space="preserve">2017 </w:t>
      </w:r>
      <w:r w:rsidRPr="00097070">
        <w:rPr>
          <w:b/>
        </w:rPr>
        <w:t xml:space="preserve">% attained English &amp; mathematics 9 </w:t>
      </w:r>
      <w:r>
        <w:rPr>
          <w:b/>
        </w:rPr>
        <w:t>–</w:t>
      </w:r>
      <w:r w:rsidRPr="00097070">
        <w:rPr>
          <w:b/>
        </w:rPr>
        <w:t xml:space="preserve"> 5</w:t>
      </w:r>
      <w:r>
        <w:rPr>
          <w:b/>
        </w:rPr>
        <w:tab/>
      </w:r>
      <w:r>
        <w:rPr>
          <w:b/>
        </w:rPr>
        <w:tab/>
      </w:r>
      <w:r>
        <w:rPr>
          <w:b/>
        </w:rPr>
        <w:tab/>
      </w:r>
      <w:r>
        <w:rPr>
          <w:b/>
        </w:rPr>
        <w:tab/>
      </w:r>
      <w:r>
        <w:rPr>
          <w:b/>
        </w:rPr>
        <w:tab/>
      </w:r>
      <w:r w:rsidR="00CF18E0">
        <w:rPr>
          <w:b/>
        </w:rPr>
        <w:tab/>
      </w:r>
      <w:r w:rsidR="008211A6">
        <w:rPr>
          <w:b/>
        </w:rPr>
        <w:t xml:space="preserve">2017 </w:t>
      </w:r>
      <w:r>
        <w:rPr>
          <w:b/>
        </w:rPr>
        <w:t xml:space="preserve">% </w:t>
      </w:r>
      <w:r w:rsidRPr="00097070">
        <w:rPr>
          <w:b/>
        </w:rPr>
        <w:t>atta</w:t>
      </w:r>
      <w:r>
        <w:rPr>
          <w:b/>
        </w:rPr>
        <w:t>ined English &amp; mathematics 9 - 4</w:t>
      </w:r>
    </w:p>
    <w:p w:rsidR="002C347E" w:rsidRDefault="00097070">
      <w:pPr>
        <w:widowControl w:val="0"/>
        <w:tabs>
          <w:tab w:val="left" w:pos="990"/>
        </w:tabs>
        <w:autoSpaceDE w:val="0"/>
        <w:autoSpaceDN w:val="0"/>
        <w:adjustRightInd w:val="0"/>
        <w:spacing w:after="240" w:line="240" w:lineRule="auto"/>
        <w:rPr>
          <w:b/>
        </w:rPr>
      </w:pPr>
      <w:r>
        <w:rPr>
          <w:noProof/>
        </w:rPr>
        <w:drawing>
          <wp:anchor distT="0" distB="0" distL="114300" distR="114300" simplePos="0" relativeHeight="251668480" behindDoc="1" locked="0" layoutInCell="1" allowOverlap="1" wp14:anchorId="383CBE78" wp14:editId="0D63E314">
            <wp:simplePos x="0" y="0"/>
            <wp:positionH relativeFrom="column">
              <wp:posOffset>4533900</wp:posOffset>
            </wp:positionH>
            <wp:positionV relativeFrom="paragraph">
              <wp:posOffset>137160</wp:posOffset>
            </wp:positionV>
            <wp:extent cx="4665345" cy="4444365"/>
            <wp:effectExtent l="0" t="0" r="1905" b="0"/>
            <wp:wrapTight wrapText="bothSides">
              <wp:wrapPolygon edited="0">
                <wp:start x="0" y="0"/>
                <wp:lineTo x="0" y="21480"/>
                <wp:lineTo x="21521" y="21480"/>
                <wp:lineTo x="215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665345" cy="4444365"/>
                    </a:xfrm>
                    <a:prstGeom prst="rect">
                      <a:avLst/>
                    </a:prstGeom>
                  </pic:spPr>
                </pic:pic>
              </a:graphicData>
            </a:graphic>
            <wp14:sizeRelH relativeFrom="page">
              <wp14:pctWidth>0</wp14:pctWidth>
            </wp14:sizeRelH>
            <wp14:sizeRelV relativeFrom="page">
              <wp14:pctHeight>0</wp14:pctHeight>
            </wp14:sizeRelV>
          </wp:anchor>
        </w:drawing>
      </w:r>
    </w:p>
    <w:p w:rsidR="002C347E" w:rsidRDefault="002C347E">
      <w:pPr>
        <w:spacing w:line="240" w:lineRule="auto"/>
      </w:pPr>
    </w:p>
    <w:p w:rsidR="002C347E" w:rsidRDefault="002C347E">
      <w:pPr>
        <w:spacing w:line="240" w:lineRule="auto"/>
      </w:pPr>
    </w:p>
    <w:p w:rsidR="006848E8" w:rsidRDefault="006848E8">
      <w:pPr>
        <w:widowControl w:val="0"/>
        <w:tabs>
          <w:tab w:val="left" w:pos="990"/>
        </w:tabs>
        <w:autoSpaceDE w:val="0"/>
        <w:autoSpaceDN w:val="0"/>
        <w:adjustRightInd w:val="0"/>
        <w:spacing w:after="240" w:line="240" w:lineRule="auto"/>
        <w:rPr>
          <w:b/>
        </w:rPr>
      </w:pPr>
    </w:p>
    <w:p w:rsidR="006848E8" w:rsidRPr="006848E8" w:rsidRDefault="006848E8" w:rsidP="006848E8"/>
    <w:p w:rsidR="006848E8" w:rsidRPr="006848E8" w:rsidRDefault="006848E8" w:rsidP="006848E8"/>
    <w:p w:rsidR="006848E8" w:rsidRPr="006848E8" w:rsidRDefault="006848E8" w:rsidP="006848E8"/>
    <w:p w:rsidR="006848E8" w:rsidRPr="006848E8" w:rsidRDefault="006848E8" w:rsidP="006848E8"/>
    <w:p w:rsidR="006848E8" w:rsidRPr="006848E8" w:rsidRDefault="006848E8" w:rsidP="006848E8"/>
    <w:p w:rsidR="006848E8" w:rsidRPr="006848E8" w:rsidRDefault="006848E8" w:rsidP="006848E8"/>
    <w:p w:rsidR="006848E8" w:rsidRPr="006848E8" w:rsidRDefault="006848E8" w:rsidP="006848E8"/>
    <w:p w:rsidR="006848E8" w:rsidRPr="006848E8" w:rsidRDefault="006848E8" w:rsidP="006848E8"/>
    <w:p w:rsidR="006848E8" w:rsidRPr="006848E8" w:rsidRDefault="006848E8" w:rsidP="006848E8"/>
    <w:p w:rsidR="006848E8" w:rsidRPr="006848E8" w:rsidRDefault="006848E8" w:rsidP="006848E8"/>
    <w:p w:rsidR="006848E8" w:rsidRPr="006848E8" w:rsidRDefault="006848E8" w:rsidP="006848E8"/>
    <w:p w:rsidR="006848E8" w:rsidRDefault="006848E8" w:rsidP="006848E8"/>
    <w:p w:rsidR="008031E6" w:rsidRPr="006848E8" w:rsidRDefault="008031E6" w:rsidP="006848E8">
      <w:pPr>
        <w:sectPr w:rsidR="008031E6" w:rsidRPr="006848E8">
          <w:pgSz w:w="16838" w:h="11906" w:orient="landscape"/>
          <w:pgMar w:top="1440" w:right="1440" w:bottom="1440" w:left="1440" w:header="708" w:footer="708" w:gutter="0"/>
          <w:cols w:space="708"/>
          <w:docGrid w:linePitch="360"/>
        </w:sectPr>
      </w:pPr>
      <w:r>
        <w:t>Please note national averages have been taken from the provisional data available from the DfE.</w:t>
      </w:r>
    </w:p>
    <w:p w:rsidR="002C347E" w:rsidRDefault="006848E8">
      <w:pPr>
        <w:spacing w:line="240" w:lineRule="auto"/>
        <w:rPr>
          <w:b/>
        </w:rPr>
      </w:pPr>
      <w:r>
        <w:rPr>
          <w:b/>
        </w:rPr>
        <w:lastRenderedPageBreak/>
        <w:t xml:space="preserve">Evaluation of PP spend 2016/17: </w:t>
      </w:r>
    </w:p>
    <w:tbl>
      <w:tblPr>
        <w:tblW w:w="14520" w:type="dxa"/>
        <w:tblLook w:val="04A0" w:firstRow="1" w:lastRow="0" w:firstColumn="1" w:lastColumn="0" w:noHBand="0" w:noVBand="1"/>
      </w:tblPr>
      <w:tblGrid>
        <w:gridCol w:w="5807"/>
        <w:gridCol w:w="992"/>
        <w:gridCol w:w="7721"/>
      </w:tblGrid>
      <w:tr w:rsidR="002C347E">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92D050"/>
            <w:hideMark/>
          </w:tcPr>
          <w:p w:rsidR="002C347E" w:rsidRDefault="006848E8">
            <w:pPr>
              <w:spacing w:after="0" w:line="240" w:lineRule="auto"/>
              <w:jc w:val="center"/>
              <w:rPr>
                <w:rFonts w:eastAsia="Times New Roman" w:cs="Arial"/>
                <w:b/>
                <w:bCs/>
                <w:color w:val="000000"/>
              </w:rPr>
            </w:pPr>
            <w:r>
              <w:rPr>
                <w:rFonts w:eastAsia="Times New Roman" w:cs="Arial"/>
                <w:b/>
                <w:bCs/>
                <w:color w:val="000000"/>
              </w:rPr>
              <w:t>Strategy</w:t>
            </w:r>
          </w:p>
        </w:tc>
        <w:tc>
          <w:tcPr>
            <w:tcW w:w="992" w:type="dxa"/>
            <w:tcBorders>
              <w:top w:val="single" w:sz="4" w:space="0" w:color="auto"/>
              <w:left w:val="nil"/>
              <w:bottom w:val="single" w:sz="4" w:space="0" w:color="auto"/>
              <w:right w:val="single" w:sz="4" w:space="0" w:color="auto"/>
            </w:tcBorders>
            <w:shd w:val="clear" w:color="auto" w:fill="92D050"/>
            <w:hideMark/>
          </w:tcPr>
          <w:p w:rsidR="002C347E" w:rsidRDefault="006848E8">
            <w:pPr>
              <w:spacing w:after="0" w:line="240" w:lineRule="auto"/>
              <w:jc w:val="center"/>
              <w:rPr>
                <w:rFonts w:eastAsia="Times New Roman" w:cs="Arial"/>
                <w:b/>
                <w:bCs/>
                <w:color w:val="000000"/>
              </w:rPr>
            </w:pPr>
            <w:r>
              <w:rPr>
                <w:rFonts w:eastAsia="Times New Roman" w:cs="Arial"/>
                <w:b/>
                <w:bCs/>
                <w:color w:val="000000"/>
              </w:rPr>
              <w:t>Cost (£)</w:t>
            </w:r>
          </w:p>
        </w:tc>
        <w:tc>
          <w:tcPr>
            <w:tcW w:w="7721" w:type="dxa"/>
            <w:tcBorders>
              <w:top w:val="single" w:sz="4" w:space="0" w:color="auto"/>
              <w:left w:val="nil"/>
              <w:bottom w:val="single" w:sz="4" w:space="0" w:color="auto"/>
              <w:right w:val="single" w:sz="4" w:space="0" w:color="auto"/>
            </w:tcBorders>
            <w:shd w:val="clear" w:color="auto" w:fill="92D050"/>
            <w:hideMark/>
          </w:tcPr>
          <w:p w:rsidR="002C347E" w:rsidRDefault="006848E8">
            <w:pPr>
              <w:spacing w:after="0" w:line="240" w:lineRule="auto"/>
              <w:jc w:val="center"/>
              <w:rPr>
                <w:rFonts w:eastAsia="Times New Roman" w:cs="Arial"/>
                <w:b/>
                <w:bCs/>
                <w:color w:val="000000"/>
              </w:rPr>
            </w:pPr>
            <w:r>
              <w:rPr>
                <w:rFonts w:eastAsia="Times New Roman" w:cs="Arial"/>
                <w:b/>
                <w:bCs/>
                <w:color w:val="000000"/>
              </w:rPr>
              <w:t>Impact / Evaluation</w:t>
            </w:r>
          </w:p>
        </w:tc>
      </w:tr>
      <w:tr w:rsidR="002C347E" w:rsidTr="007851E1">
        <w:trPr>
          <w:trHeight w:val="1617"/>
        </w:trPr>
        <w:tc>
          <w:tcPr>
            <w:tcW w:w="5807" w:type="dxa"/>
            <w:tcBorders>
              <w:top w:val="nil"/>
              <w:left w:val="single" w:sz="4" w:space="0" w:color="auto"/>
              <w:bottom w:val="single" w:sz="4" w:space="0" w:color="auto"/>
              <w:right w:val="single" w:sz="4" w:space="0" w:color="auto"/>
            </w:tcBorders>
            <w:shd w:val="clear" w:color="auto" w:fill="auto"/>
            <w:hideMark/>
          </w:tcPr>
          <w:p w:rsidR="002C347E" w:rsidRDefault="006848E8" w:rsidP="00F55306">
            <w:pPr>
              <w:spacing w:after="0" w:line="240" w:lineRule="auto"/>
              <w:rPr>
                <w:rFonts w:eastAsia="Times New Roman" w:cs="Arial"/>
                <w:color w:val="000000"/>
              </w:rPr>
            </w:pPr>
            <w:r>
              <w:rPr>
                <w:rFonts w:eastAsia="Times New Roman" w:cs="Arial"/>
                <w:color w:val="000000"/>
              </w:rPr>
              <w:t xml:space="preserve">Academic mentors used to run intervention with </w:t>
            </w:r>
            <w:r w:rsidR="00332100">
              <w:rPr>
                <w:rFonts w:eastAsia="Times New Roman" w:cs="Arial"/>
                <w:color w:val="000000"/>
              </w:rPr>
              <w:t xml:space="preserve">Year 11 </w:t>
            </w:r>
            <w:r>
              <w:rPr>
                <w:rFonts w:eastAsia="Times New Roman" w:cs="Arial"/>
                <w:color w:val="000000"/>
              </w:rPr>
              <w:t xml:space="preserve">students. This </w:t>
            </w:r>
            <w:r w:rsidR="00332100">
              <w:rPr>
                <w:rFonts w:eastAsia="Times New Roman" w:cs="Arial"/>
                <w:color w:val="000000"/>
              </w:rPr>
              <w:t>took</w:t>
            </w:r>
            <w:r>
              <w:rPr>
                <w:rFonts w:eastAsia="Times New Roman" w:cs="Arial"/>
                <w:color w:val="000000"/>
              </w:rPr>
              <w:t xml:space="preserve"> the form of one to one intervention or small group intervention. These have been sighted as having a positive impact from the Education Endowment Fund.  Maths, English </w:t>
            </w:r>
            <w:r w:rsidR="00F55306">
              <w:rPr>
                <w:rFonts w:eastAsia="Times New Roman" w:cs="Arial"/>
                <w:color w:val="000000"/>
              </w:rPr>
              <w:t xml:space="preserve">and </w:t>
            </w:r>
            <w:r>
              <w:rPr>
                <w:rFonts w:eastAsia="Times New Roman" w:cs="Arial"/>
                <w:color w:val="000000"/>
              </w:rPr>
              <w:t xml:space="preserve">intervention support had 3 members of associate staff with a </w:t>
            </w:r>
            <w:r w:rsidR="002F5CD0">
              <w:rPr>
                <w:rFonts w:eastAsia="Times New Roman" w:cs="Arial"/>
                <w:color w:val="000000"/>
              </w:rPr>
              <w:t>year 11 focus.</w:t>
            </w:r>
          </w:p>
        </w:tc>
        <w:tc>
          <w:tcPr>
            <w:tcW w:w="992" w:type="dxa"/>
            <w:tcBorders>
              <w:top w:val="nil"/>
              <w:left w:val="nil"/>
              <w:bottom w:val="single" w:sz="4" w:space="0" w:color="auto"/>
              <w:right w:val="single" w:sz="4" w:space="0" w:color="auto"/>
            </w:tcBorders>
            <w:shd w:val="clear" w:color="auto" w:fill="auto"/>
            <w:hideMark/>
          </w:tcPr>
          <w:p w:rsidR="002C347E" w:rsidRDefault="006848E8">
            <w:pPr>
              <w:spacing w:after="0" w:line="240" w:lineRule="auto"/>
              <w:jc w:val="center"/>
              <w:rPr>
                <w:rFonts w:ascii="Calibri" w:eastAsia="Times New Roman" w:hAnsi="Calibri"/>
                <w:color w:val="000000"/>
              </w:rPr>
            </w:pPr>
            <w:r>
              <w:rPr>
                <w:rFonts w:ascii="Calibri" w:hAnsi="Calibri"/>
                <w:color w:val="000000"/>
              </w:rPr>
              <w:t>97288</w:t>
            </w:r>
          </w:p>
          <w:p w:rsidR="002C347E" w:rsidRDefault="002C347E">
            <w:pPr>
              <w:spacing w:after="0" w:line="240" w:lineRule="auto"/>
              <w:jc w:val="center"/>
              <w:rPr>
                <w:rFonts w:eastAsia="Times New Roman" w:cs="Arial"/>
                <w:color w:val="000000"/>
              </w:rPr>
            </w:pPr>
          </w:p>
        </w:tc>
        <w:tc>
          <w:tcPr>
            <w:tcW w:w="7721" w:type="dxa"/>
            <w:tcBorders>
              <w:top w:val="nil"/>
              <w:left w:val="nil"/>
              <w:bottom w:val="single" w:sz="4" w:space="0" w:color="auto"/>
              <w:right w:val="single" w:sz="4" w:space="0" w:color="auto"/>
            </w:tcBorders>
            <w:shd w:val="clear" w:color="auto" w:fill="auto"/>
            <w:hideMark/>
          </w:tcPr>
          <w:p w:rsidR="002C347E" w:rsidRDefault="006848E8">
            <w:pPr>
              <w:pStyle w:val="NoSpacing"/>
              <w:rPr>
                <w:rFonts w:eastAsia="Times New Roman"/>
              </w:rPr>
            </w:pPr>
            <w:r>
              <w:rPr>
                <w:rFonts w:eastAsia="Times New Roman"/>
              </w:rPr>
              <w:t xml:space="preserve">Pupil Premium students made up in excess of 60% of the students involved with the intervention sessions which was above their representation in the cohort.  </w:t>
            </w:r>
          </w:p>
          <w:p w:rsidR="002C347E" w:rsidRDefault="006848E8">
            <w:pPr>
              <w:pStyle w:val="NoSpacing"/>
              <w:rPr>
                <w:rFonts w:eastAsia="Times New Roman"/>
              </w:rPr>
            </w:pPr>
            <w:r>
              <w:rPr>
                <w:rFonts w:eastAsia="Times New Roman"/>
              </w:rPr>
              <w:t xml:space="preserve">22% of Pupil Premium students achieved 9-4 English and maths basics compared to 42.6% for their </w:t>
            </w:r>
            <w:r w:rsidR="005D1136">
              <w:rPr>
                <w:rFonts w:eastAsia="Times New Roman"/>
              </w:rPr>
              <w:t xml:space="preserve">non-Pupil </w:t>
            </w:r>
            <w:r>
              <w:rPr>
                <w:rFonts w:eastAsia="Times New Roman"/>
              </w:rPr>
              <w:t>P</w:t>
            </w:r>
            <w:r w:rsidR="005D1136">
              <w:rPr>
                <w:rFonts w:eastAsia="Times New Roman"/>
              </w:rPr>
              <w:t>remium</w:t>
            </w:r>
            <w:r>
              <w:rPr>
                <w:rFonts w:eastAsia="Times New Roman"/>
              </w:rPr>
              <w:t xml:space="preserve"> peers.</w:t>
            </w:r>
          </w:p>
          <w:p w:rsidR="002C347E" w:rsidRDefault="006848E8" w:rsidP="005D1136">
            <w:pPr>
              <w:pStyle w:val="NoSpacing"/>
              <w:rPr>
                <w:rFonts w:eastAsia="Times New Roman"/>
              </w:rPr>
            </w:pPr>
            <w:r>
              <w:rPr>
                <w:rFonts w:eastAsia="Times New Roman"/>
              </w:rPr>
              <w:t xml:space="preserve">10.3% of Pupil Premium students achieved 9-5 English and maths basics compared to 23.4% for their </w:t>
            </w:r>
            <w:r w:rsidR="005D1136">
              <w:rPr>
                <w:rFonts w:eastAsia="Times New Roman"/>
              </w:rPr>
              <w:t xml:space="preserve">non-Pupil Premium </w:t>
            </w:r>
            <w:r>
              <w:rPr>
                <w:rFonts w:eastAsia="Times New Roman"/>
              </w:rPr>
              <w:t>peers.</w:t>
            </w:r>
          </w:p>
        </w:tc>
      </w:tr>
      <w:tr w:rsidR="002C347E">
        <w:trPr>
          <w:trHeight w:val="1946"/>
        </w:trPr>
        <w:tc>
          <w:tcPr>
            <w:tcW w:w="5807" w:type="dxa"/>
            <w:tcBorders>
              <w:top w:val="nil"/>
              <w:left w:val="single" w:sz="4" w:space="0" w:color="auto"/>
              <w:bottom w:val="single" w:sz="4" w:space="0" w:color="auto"/>
              <w:right w:val="single" w:sz="4" w:space="0" w:color="auto"/>
            </w:tcBorders>
            <w:shd w:val="clear" w:color="auto" w:fill="auto"/>
            <w:hideMark/>
          </w:tcPr>
          <w:p w:rsidR="002C347E" w:rsidRDefault="005D1136">
            <w:pPr>
              <w:spacing w:after="0" w:line="240" w:lineRule="auto"/>
              <w:rPr>
                <w:rFonts w:eastAsia="Times New Roman" w:cs="Arial"/>
                <w:color w:val="000000"/>
              </w:rPr>
            </w:pPr>
            <w:r>
              <w:rPr>
                <w:rFonts w:eastAsia="Times New Roman" w:cs="Arial"/>
                <w:color w:val="000000"/>
              </w:rPr>
              <w:t>50% of an AVP salary with s</w:t>
            </w:r>
            <w:r w:rsidR="006848E8">
              <w:rPr>
                <w:rFonts w:eastAsia="Times New Roman" w:cs="Arial"/>
                <w:color w:val="000000"/>
              </w:rPr>
              <w:t xml:space="preserve">pecific focus on Pupil Premium.  Pupils entitled to the Pupil Premium Grant are tracked extensively throughout their time at school.  AVP held to account for the progress of </w:t>
            </w:r>
            <w:r>
              <w:rPr>
                <w:rFonts w:eastAsia="Times New Roman"/>
              </w:rPr>
              <w:t xml:space="preserve">Pupil Premium </w:t>
            </w:r>
            <w:r w:rsidR="006848E8">
              <w:rPr>
                <w:rFonts w:eastAsia="Times New Roman" w:cs="Arial"/>
                <w:color w:val="000000"/>
              </w:rPr>
              <w:t xml:space="preserve">students in SIB meetings, so that we can monitor their progress in comparison to their peers.  </w:t>
            </w:r>
          </w:p>
        </w:tc>
        <w:tc>
          <w:tcPr>
            <w:tcW w:w="992" w:type="dxa"/>
            <w:tcBorders>
              <w:top w:val="nil"/>
              <w:left w:val="nil"/>
              <w:bottom w:val="single" w:sz="4" w:space="0" w:color="auto"/>
              <w:right w:val="single" w:sz="4" w:space="0" w:color="auto"/>
            </w:tcBorders>
            <w:shd w:val="clear" w:color="auto" w:fill="auto"/>
            <w:hideMark/>
          </w:tcPr>
          <w:p w:rsidR="002C347E" w:rsidRDefault="006848E8">
            <w:pPr>
              <w:spacing w:after="0" w:line="240" w:lineRule="auto"/>
              <w:jc w:val="center"/>
              <w:rPr>
                <w:rFonts w:eastAsia="Times New Roman" w:cs="Arial"/>
                <w:color w:val="000000"/>
              </w:rPr>
            </w:pPr>
            <w:r>
              <w:rPr>
                <w:rFonts w:eastAsia="Times New Roman" w:cs="Arial"/>
                <w:color w:val="000000"/>
              </w:rPr>
              <w:t>36082</w:t>
            </w:r>
          </w:p>
        </w:tc>
        <w:tc>
          <w:tcPr>
            <w:tcW w:w="7721" w:type="dxa"/>
            <w:tcBorders>
              <w:top w:val="nil"/>
              <w:left w:val="nil"/>
              <w:bottom w:val="single" w:sz="4" w:space="0" w:color="auto"/>
              <w:right w:val="single" w:sz="4" w:space="0" w:color="auto"/>
            </w:tcBorders>
            <w:shd w:val="clear" w:color="auto" w:fill="auto"/>
            <w:hideMark/>
          </w:tcPr>
          <w:p w:rsidR="002C347E" w:rsidRDefault="006848E8">
            <w:pPr>
              <w:pStyle w:val="NoSpacing"/>
              <w:rPr>
                <w:rFonts w:eastAsia="Times New Roman"/>
              </w:rPr>
            </w:pPr>
            <w:r>
              <w:rPr>
                <w:rFonts w:eastAsia="Times New Roman"/>
              </w:rPr>
              <w:t xml:space="preserve">Progress 8 measures for the Pupil Premium cohort was -1.025 compared to -0.40 for non-Pupil Premium students.  </w:t>
            </w:r>
          </w:p>
          <w:p w:rsidR="002F5CD0" w:rsidRDefault="006848E8">
            <w:pPr>
              <w:pStyle w:val="NoSpacing"/>
            </w:pPr>
            <w:r>
              <w:rPr>
                <w:rFonts w:eastAsia="Times New Roman"/>
              </w:rPr>
              <w:t>Pupil Premium</w:t>
            </w:r>
            <w:r>
              <w:t xml:space="preserve"> learners have had increased access to enrichment activities, including Saturday and holiday revision sessions.  40% of non-</w:t>
            </w:r>
            <w:r>
              <w:rPr>
                <w:rFonts w:eastAsia="Times New Roman"/>
              </w:rPr>
              <w:t>Pupil Premium</w:t>
            </w:r>
            <w:r>
              <w:t xml:space="preserve"> attended fewer than 5 sessions with this figure being only 47% of </w:t>
            </w:r>
            <w:r>
              <w:rPr>
                <w:rFonts w:eastAsia="Times New Roman"/>
              </w:rPr>
              <w:t>Pupil Premium</w:t>
            </w:r>
            <w:r>
              <w:t xml:space="preserve"> learners.</w:t>
            </w:r>
            <w:r w:rsidR="002F5CD0">
              <w:t xml:space="preserve">  </w:t>
            </w:r>
            <w:r>
              <w:t xml:space="preserve">March 2017 – </w:t>
            </w:r>
            <w:r>
              <w:rPr>
                <w:rFonts w:eastAsia="Times New Roman"/>
              </w:rPr>
              <w:t>Pupil Premium</w:t>
            </w:r>
            <w:r>
              <w:t xml:space="preserve"> attendance for year 11 to revision sessions average 45.5%.</w:t>
            </w:r>
          </w:p>
        </w:tc>
      </w:tr>
      <w:tr w:rsidR="002C347E" w:rsidTr="00332100">
        <w:trPr>
          <w:trHeight w:val="900"/>
        </w:trPr>
        <w:tc>
          <w:tcPr>
            <w:tcW w:w="5807" w:type="dxa"/>
            <w:tcBorders>
              <w:top w:val="nil"/>
              <w:left w:val="single" w:sz="4" w:space="0" w:color="auto"/>
              <w:bottom w:val="single" w:sz="4" w:space="0" w:color="auto"/>
              <w:right w:val="single" w:sz="4" w:space="0" w:color="auto"/>
            </w:tcBorders>
            <w:shd w:val="clear" w:color="auto" w:fill="auto"/>
            <w:hideMark/>
          </w:tcPr>
          <w:p w:rsidR="002C347E" w:rsidRDefault="006848E8">
            <w:pPr>
              <w:spacing w:after="0" w:line="240" w:lineRule="auto"/>
              <w:rPr>
                <w:rFonts w:eastAsia="Times New Roman" w:cs="Arial"/>
                <w:color w:val="000000"/>
              </w:rPr>
            </w:pPr>
            <w:r>
              <w:rPr>
                <w:rFonts w:eastAsia="Times New Roman" w:cs="Arial"/>
                <w:color w:val="000000"/>
              </w:rPr>
              <w:t>Weekly book scrutiny’s</w:t>
            </w:r>
            <w:r w:rsidR="00372CA4">
              <w:rPr>
                <w:rFonts w:eastAsia="Times New Roman" w:cs="Arial"/>
                <w:color w:val="000000"/>
              </w:rPr>
              <w:t xml:space="preserve"> to take place</w:t>
            </w:r>
            <w:r>
              <w:rPr>
                <w:rFonts w:eastAsia="Times New Roman" w:cs="Arial"/>
                <w:color w:val="000000"/>
              </w:rPr>
              <w:t xml:space="preserve">.  Lists of </w:t>
            </w:r>
            <w:r>
              <w:rPr>
                <w:rFonts w:eastAsia="Times New Roman"/>
              </w:rPr>
              <w:t>Pupil Premium</w:t>
            </w:r>
            <w:r>
              <w:rPr>
                <w:rFonts w:eastAsia="Times New Roman" w:cs="Arial"/>
                <w:color w:val="000000"/>
              </w:rPr>
              <w:t xml:space="preserve"> student’s books were requested within each department.  </w:t>
            </w:r>
            <w:r>
              <w:t>Disadvantaged Learners made progress because of the improvement in quality first Teaching and Learning  (72% by end of year).</w:t>
            </w:r>
          </w:p>
        </w:tc>
        <w:tc>
          <w:tcPr>
            <w:tcW w:w="992" w:type="dxa"/>
            <w:tcBorders>
              <w:top w:val="nil"/>
              <w:left w:val="nil"/>
              <w:bottom w:val="single" w:sz="4" w:space="0" w:color="auto"/>
              <w:right w:val="single" w:sz="4" w:space="0" w:color="auto"/>
            </w:tcBorders>
            <w:shd w:val="clear" w:color="auto" w:fill="auto"/>
            <w:hideMark/>
          </w:tcPr>
          <w:p w:rsidR="002C347E" w:rsidRDefault="006848E8">
            <w:pPr>
              <w:spacing w:after="0" w:line="240" w:lineRule="auto"/>
              <w:jc w:val="center"/>
              <w:rPr>
                <w:rFonts w:eastAsia="Times New Roman" w:cs="Arial"/>
                <w:color w:val="000000"/>
              </w:rPr>
            </w:pPr>
            <w:r>
              <w:rPr>
                <w:rFonts w:eastAsia="Times New Roman" w:cs="Arial"/>
                <w:color w:val="000000"/>
              </w:rPr>
              <w:t>0</w:t>
            </w:r>
          </w:p>
        </w:tc>
        <w:tc>
          <w:tcPr>
            <w:tcW w:w="7721" w:type="dxa"/>
            <w:tcBorders>
              <w:top w:val="nil"/>
              <w:left w:val="nil"/>
              <w:bottom w:val="single" w:sz="4" w:space="0" w:color="auto"/>
              <w:right w:val="single" w:sz="4" w:space="0" w:color="auto"/>
            </w:tcBorders>
            <w:shd w:val="clear" w:color="auto" w:fill="auto"/>
          </w:tcPr>
          <w:p w:rsidR="00450FC5" w:rsidRDefault="00450FC5" w:rsidP="00450FC5">
            <w:pPr>
              <w:pStyle w:val="NoSpacing"/>
              <w:rPr>
                <w:rFonts w:eastAsia="Times New Roman"/>
              </w:rPr>
            </w:pPr>
            <w:r>
              <w:rPr>
                <w:rFonts w:eastAsia="Times New Roman"/>
              </w:rPr>
              <w:t xml:space="preserve">In English Language 9.6% of Pupil Premium students made expected or better progress compared to 7.7% for their non-Pupil Premium peers.  </w:t>
            </w:r>
          </w:p>
          <w:p w:rsidR="002C347E" w:rsidRDefault="007851E1" w:rsidP="007851E1">
            <w:pPr>
              <w:pStyle w:val="NoSpacing"/>
              <w:rPr>
                <w:rFonts w:eastAsia="Times New Roman"/>
              </w:rPr>
            </w:pPr>
            <w:r>
              <w:t>22.6% of Pupil Premium students had a positive Progress 8 measure compared to 42.3% of non-Pupil Premium students.</w:t>
            </w:r>
          </w:p>
        </w:tc>
      </w:tr>
      <w:tr w:rsidR="002C347E">
        <w:trPr>
          <w:trHeight w:val="600"/>
        </w:trPr>
        <w:tc>
          <w:tcPr>
            <w:tcW w:w="5807" w:type="dxa"/>
            <w:tcBorders>
              <w:top w:val="nil"/>
              <w:left w:val="single" w:sz="4" w:space="0" w:color="auto"/>
              <w:bottom w:val="single" w:sz="4" w:space="0" w:color="auto"/>
              <w:right w:val="single" w:sz="4" w:space="0" w:color="auto"/>
            </w:tcBorders>
            <w:shd w:val="clear" w:color="auto" w:fill="auto"/>
            <w:hideMark/>
          </w:tcPr>
          <w:p w:rsidR="002C347E" w:rsidRDefault="006848E8">
            <w:pPr>
              <w:spacing w:after="0" w:line="240" w:lineRule="auto"/>
              <w:rPr>
                <w:rFonts w:eastAsia="Times New Roman" w:cs="Arial"/>
                <w:color w:val="000000"/>
              </w:rPr>
            </w:pPr>
            <w:r>
              <w:rPr>
                <w:rFonts w:eastAsia="Times New Roman" w:cs="Arial"/>
                <w:color w:val="000000"/>
              </w:rPr>
              <w:t xml:space="preserve">Tracking stickers to be produced and printed.  All students were encouraged to keep track of their progress to demonstrate progress over time.  </w:t>
            </w:r>
          </w:p>
        </w:tc>
        <w:tc>
          <w:tcPr>
            <w:tcW w:w="992" w:type="dxa"/>
            <w:tcBorders>
              <w:top w:val="nil"/>
              <w:left w:val="nil"/>
              <w:bottom w:val="single" w:sz="4" w:space="0" w:color="auto"/>
              <w:right w:val="single" w:sz="4" w:space="0" w:color="auto"/>
            </w:tcBorders>
            <w:shd w:val="clear" w:color="auto" w:fill="auto"/>
            <w:hideMark/>
          </w:tcPr>
          <w:p w:rsidR="002C347E" w:rsidRDefault="006848E8">
            <w:pPr>
              <w:spacing w:after="0" w:line="240" w:lineRule="auto"/>
              <w:jc w:val="center"/>
              <w:rPr>
                <w:rFonts w:eastAsia="Times New Roman" w:cs="Arial"/>
                <w:color w:val="000000"/>
              </w:rPr>
            </w:pPr>
            <w:r>
              <w:rPr>
                <w:rFonts w:eastAsia="Times New Roman" w:cs="Arial"/>
                <w:color w:val="000000"/>
              </w:rPr>
              <w:t>500</w:t>
            </w:r>
          </w:p>
        </w:tc>
        <w:tc>
          <w:tcPr>
            <w:tcW w:w="7721" w:type="dxa"/>
            <w:tcBorders>
              <w:top w:val="nil"/>
              <w:left w:val="nil"/>
              <w:bottom w:val="single" w:sz="4" w:space="0" w:color="auto"/>
              <w:right w:val="single" w:sz="4" w:space="0" w:color="auto"/>
            </w:tcBorders>
            <w:shd w:val="clear" w:color="auto" w:fill="auto"/>
            <w:hideMark/>
          </w:tcPr>
          <w:p w:rsidR="002C347E" w:rsidRPr="00BE3329" w:rsidRDefault="00372CA4" w:rsidP="00372CA4">
            <w:pPr>
              <w:pStyle w:val="NoSpacing"/>
              <w:rPr>
                <w:rFonts w:eastAsia="Times New Roman"/>
              </w:rPr>
            </w:pPr>
            <w:r>
              <w:rPr>
                <w:rFonts w:eastAsia="Times New Roman"/>
              </w:rPr>
              <w:t xml:space="preserve">Progress stickers supported the </w:t>
            </w:r>
            <w:r w:rsidR="006848E8">
              <w:rPr>
                <w:rFonts w:eastAsia="Times New Roman"/>
              </w:rPr>
              <w:t xml:space="preserve">Progress 8 measures for the Pupil Premium cohort </w:t>
            </w:r>
            <w:r>
              <w:rPr>
                <w:rFonts w:eastAsia="Times New Roman"/>
              </w:rPr>
              <w:t>to</w:t>
            </w:r>
            <w:r w:rsidR="006848E8">
              <w:rPr>
                <w:rFonts w:eastAsia="Times New Roman"/>
              </w:rPr>
              <w:t xml:space="preserve"> -1.025 compared to -0.40 for non-Pupil Premium students.  </w:t>
            </w:r>
          </w:p>
        </w:tc>
      </w:tr>
      <w:tr w:rsidR="002C347E">
        <w:trPr>
          <w:trHeight w:val="558"/>
        </w:trPr>
        <w:tc>
          <w:tcPr>
            <w:tcW w:w="5807" w:type="dxa"/>
            <w:tcBorders>
              <w:top w:val="nil"/>
              <w:left w:val="single" w:sz="4" w:space="0" w:color="auto"/>
              <w:bottom w:val="single" w:sz="4" w:space="0" w:color="auto"/>
              <w:right w:val="single" w:sz="4" w:space="0" w:color="auto"/>
            </w:tcBorders>
            <w:shd w:val="clear" w:color="auto" w:fill="auto"/>
            <w:hideMark/>
          </w:tcPr>
          <w:p w:rsidR="002C347E" w:rsidRDefault="006848E8">
            <w:pPr>
              <w:spacing w:after="0" w:line="240" w:lineRule="auto"/>
              <w:rPr>
                <w:rFonts w:eastAsia="Times New Roman" w:cs="Arial"/>
                <w:color w:val="000000"/>
              </w:rPr>
            </w:pPr>
            <w:r>
              <w:rPr>
                <w:rFonts w:eastAsia="Times New Roman" w:cs="Arial"/>
                <w:color w:val="000000"/>
              </w:rPr>
              <w:t>Small group tuition for iden</w:t>
            </w:r>
            <w:r w:rsidR="00372CA4">
              <w:rPr>
                <w:rFonts w:eastAsia="Times New Roman" w:cs="Arial"/>
                <w:color w:val="000000"/>
              </w:rPr>
              <w:t>tified students in English and m</w:t>
            </w:r>
            <w:r>
              <w:rPr>
                <w:rFonts w:eastAsia="Times New Roman" w:cs="Arial"/>
                <w:color w:val="000000"/>
              </w:rPr>
              <w:t>aths.  50% of 2 additional English staff salary supported by the Pupil Premium Grant.  These staff led small group tuition including the vocabulary enrichment programme.</w:t>
            </w:r>
          </w:p>
        </w:tc>
        <w:tc>
          <w:tcPr>
            <w:tcW w:w="992" w:type="dxa"/>
            <w:tcBorders>
              <w:top w:val="nil"/>
              <w:left w:val="nil"/>
              <w:bottom w:val="single" w:sz="4" w:space="0" w:color="auto"/>
              <w:right w:val="single" w:sz="4" w:space="0" w:color="auto"/>
            </w:tcBorders>
            <w:shd w:val="clear" w:color="auto" w:fill="auto"/>
            <w:hideMark/>
          </w:tcPr>
          <w:p w:rsidR="002C347E" w:rsidRDefault="006848E8">
            <w:pPr>
              <w:spacing w:after="0" w:line="240" w:lineRule="auto"/>
              <w:jc w:val="center"/>
              <w:rPr>
                <w:rFonts w:eastAsia="Times New Roman" w:cs="Arial"/>
                <w:color w:val="000000"/>
              </w:rPr>
            </w:pPr>
            <w:r>
              <w:rPr>
                <w:rFonts w:eastAsia="Times New Roman" w:cs="Arial"/>
                <w:color w:val="000000"/>
              </w:rPr>
              <w:t>29785</w:t>
            </w:r>
          </w:p>
        </w:tc>
        <w:tc>
          <w:tcPr>
            <w:tcW w:w="7721" w:type="dxa"/>
            <w:tcBorders>
              <w:top w:val="nil"/>
              <w:left w:val="nil"/>
              <w:bottom w:val="single" w:sz="4" w:space="0" w:color="auto"/>
              <w:right w:val="single" w:sz="4" w:space="0" w:color="auto"/>
            </w:tcBorders>
            <w:shd w:val="clear" w:color="auto" w:fill="auto"/>
            <w:hideMark/>
          </w:tcPr>
          <w:p w:rsidR="002C347E" w:rsidRDefault="00332100">
            <w:pPr>
              <w:spacing w:after="0" w:line="240" w:lineRule="auto"/>
              <w:rPr>
                <w:rFonts w:eastAsia="Times New Roman" w:cs="Arial"/>
                <w:color w:val="000000"/>
              </w:rPr>
            </w:pPr>
            <w:r>
              <w:rPr>
                <w:rFonts w:eastAsia="Times New Roman" w:cs="Arial"/>
                <w:color w:val="000000"/>
              </w:rPr>
              <w:t xml:space="preserve">39 students took part in the </w:t>
            </w:r>
            <w:r w:rsidR="002B717E">
              <w:rPr>
                <w:rFonts w:eastAsia="Times New Roman" w:cs="Arial"/>
                <w:color w:val="000000"/>
              </w:rPr>
              <w:t>vocabulary</w:t>
            </w:r>
            <w:r>
              <w:rPr>
                <w:rFonts w:eastAsia="Times New Roman" w:cs="Arial"/>
                <w:color w:val="000000"/>
              </w:rPr>
              <w:t xml:space="preserve"> enrichment programme.  Pupil Premium students formed more than 60% of the cohort targeted.</w:t>
            </w:r>
          </w:p>
          <w:p w:rsidR="00F64D28" w:rsidRDefault="001254F8" w:rsidP="001254F8">
            <w:pPr>
              <w:spacing w:after="0" w:line="240" w:lineRule="auto"/>
              <w:rPr>
                <w:rFonts w:ascii="Calibri" w:hAnsi="Calibri"/>
                <w:color w:val="000000"/>
              </w:rPr>
            </w:pPr>
            <w:r>
              <w:rPr>
                <w:rFonts w:ascii="Calibri" w:hAnsi="Calibri"/>
                <w:color w:val="000000"/>
              </w:rPr>
              <w:t>The average vocabulary score (across Years 9, 10 and 11) increased from 4.7 to 10.</w:t>
            </w:r>
          </w:p>
          <w:p w:rsidR="00F64D28" w:rsidRDefault="00F64D28" w:rsidP="001254F8">
            <w:pPr>
              <w:spacing w:after="0" w:line="240" w:lineRule="auto"/>
              <w:rPr>
                <w:rFonts w:ascii="Calibri" w:hAnsi="Calibri"/>
                <w:color w:val="000000"/>
              </w:rPr>
            </w:pPr>
            <w:r>
              <w:rPr>
                <w:rFonts w:ascii="Calibri" w:hAnsi="Calibri"/>
                <w:color w:val="000000"/>
              </w:rPr>
              <w:t>25 out of 39 students improved their vocabulary by a score of 3 or more.</w:t>
            </w:r>
          </w:p>
          <w:p w:rsidR="00332100" w:rsidRDefault="00F64D28" w:rsidP="001254F8">
            <w:pPr>
              <w:spacing w:after="0" w:line="240" w:lineRule="auto"/>
              <w:rPr>
                <w:rFonts w:eastAsia="Times New Roman" w:cs="Arial"/>
                <w:color w:val="000000"/>
              </w:rPr>
            </w:pPr>
            <w:r>
              <w:rPr>
                <w:rFonts w:ascii="Calibri" w:hAnsi="Calibri"/>
                <w:color w:val="000000"/>
              </w:rPr>
              <w:t>14 students scored a maximum of 15 out or 15 as a result of the vocabulary enrichment programme.</w:t>
            </w:r>
          </w:p>
        </w:tc>
      </w:tr>
      <w:tr w:rsidR="002C347E">
        <w:trPr>
          <w:trHeight w:val="841"/>
        </w:trPr>
        <w:tc>
          <w:tcPr>
            <w:tcW w:w="5807" w:type="dxa"/>
            <w:tcBorders>
              <w:top w:val="nil"/>
              <w:left w:val="single" w:sz="4" w:space="0" w:color="auto"/>
              <w:bottom w:val="single" w:sz="4" w:space="0" w:color="auto"/>
              <w:right w:val="single" w:sz="4" w:space="0" w:color="auto"/>
            </w:tcBorders>
            <w:shd w:val="clear" w:color="auto" w:fill="auto"/>
            <w:hideMark/>
          </w:tcPr>
          <w:p w:rsidR="002C347E" w:rsidRDefault="006848E8">
            <w:pPr>
              <w:spacing w:after="0" w:line="240" w:lineRule="auto"/>
              <w:rPr>
                <w:rFonts w:eastAsia="Times New Roman" w:cs="Arial"/>
                <w:color w:val="000000"/>
              </w:rPr>
            </w:pPr>
            <w:r>
              <w:rPr>
                <w:rFonts w:eastAsia="Times New Roman" w:cs="Arial"/>
                <w:color w:val="000000"/>
              </w:rPr>
              <w:t>Reading intervention, carried out in small groups by EAL TA’s (max 4:1 ratio) is essential in ensuring students can participate fully in mainstream classes</w:t>
            </w:r>
            <w:r w:rsidR="00F55306">
              <w:rPr>
                <w:rFonts w:eastAsia="Times New Roman" w:cs="Arial"/>
                <w:color w:val="000000"/>
              </w:rPr>
              <w:t>, and make the most progress.  Two</w:t>
            </w:r>
            <w:r>
              <w:rPr>
                <w:rFonts w:eastAsia="Times New Roman" w:cs="Arial"/>
                <w:color w:val="000000"/>
              </w:rPr>
              <w:t xml:space="preserve"> members of associate staff with a specific focus on supporting and developing reading across the academy.  </w:t>
            </w:r>
          </w:p>
          <w:p w:rsidR="002C347E" w:rsidRDefault="002C347E">
            <w:pPr>
              <w:spacing w:after="0" w:line="240" w:lineRule="auto"/>
              <w:rPr>
                <w:rFonts w:eastAsia="Times New Roman" w:cs="Arial"/>
                <w:color w:val="000000"/>
              </w:rPr>
            </w:pPr>
          </w:p>
          <w:p w:rsidR="002C347E" w:rsidRDefault="002C347E">
            <w:pPr>
              <w:spacing w:after="0" w:line="240" w:lineRule="auto"/>
              <w:rPr>
                <w:rFonts w:eastAsia="Times New Roman" w:cs="Arial"/>
                <w:color w:val="000000"/>
              </w:rPr>
            </w:pPr>
          </w:p>
          <w:p w:rsidR="002C347E" w:rsidRDefault="002C347E">
            <w:pPr>
              <w:spacing w:after="0" w:line="240" w:lineRule="auto"/>
              <w:rPr>
                <w:rFonts w:eastAsia="Times New Roman" w:cs="Arial"/>
                <w:color w:val="000000"/>
              </w:rPr>
            </w:pPr>
          </w:p>
          <w:p w:rsidR="002C347E" w:rsidRDefault="002C347E">
            <w:pPr>
              <w:spacing w:after="0" w:line="240" w:lineRule="auto"/>
              <w:rPr>
                <w:rFonts w:eastAsia="Times New Roman" w:cs="Arial"/>
                <w:color w:val="000000"/>
              </w:rPr>
            </w:pPr>
          </w:p>
          <w:p w:rsidR="002C347E" w:rsidRDefault="002C347E">
            <w:pPr>
              <w:spacing w:after="0" w:line="240" w:lineRule="auto"/>
              <w:rPr>
                <w:rFonts w:eastAsia="Times New Roman" w:cs="Arial"/>
                <w:color w:val="000000"/>
              </w:rPr>
            </w:pPr>
          </w:p>
          <w:p w:rsidR="002C347E" w:rsidRDefault="002C347E">
            <w:pPr>
              <w:spacing w:after="0" w:line="240" w:lineRule="auto"/>
              <w:rPr>
                <w:rFonts w:eastAsia="Times New Roman" w:cs="Arial"/>
                <w:color w:val="000000"/>
              </w:rPr>
            </w:pPr>
          </w:p>
          <w:p w:rsidR="002C347E" w:rsidRDefault="002C347E">
            <w:pPr>
              <w:spacing w:after="0" w:line="240" w:lineRule="auto"/>
              <w:rPr>
                <w:rFonts w:eastAsia="Times New Roman" w:cs="Arial"/>
                <w:color w:val="000000"/>
              </w:rPr>
            </w:pPr>
          </w:p>
          <w:p w:rsidR="002C347E" w:rsidRDefault="002C347E">
            <w:pPr>
              <w:spacing w:after="0" w:line="240" w:lineRule="auto"/>
              <w:rPr>
                <w:rFonts w:eastAsia="Times New Roman" w:cs="Arial"/>
                <w:color w:val="000000"/>
              </w:rPr>
            </w:pPr>
          </w:p>
          <w:p w:rsidR="002C347E" w:rsidRDefault="002C347E">
            <w:pPr>
              <w:spacing w:after="0" w:line="240" w:lineRule="auto"/>
              <w:rPr>
                <w:rFonts w:eastAsia="Times New Roman" w:cs="Arial"/>
                <w:color w:val="000000"/>
              </w:rPr>
            </w:pPr>
          </w:p>
        </w:tc>
        <w:tc>
          <w:tcPr>
            <w:tcW w:w="992" w:type="dxa"/>
            <w:tcBorders>
              <w:top w:val="nil"/>
              <w:left w:val="nil"/>
              <w:bottom w:val="single" w:sz="4" w:space="0" w:color="auto"/>
              <w:right w:val="single" w:sz="4" w:space="0" w:color="auto"/>
            </w:tcBorders>
            <w:shd w:val="clear" w:color="auto" w:fill="auto"/>
            <w:hideMark/>
          </w:tcPr>
          <w:p w:rsidR="002C347E" w:rsidRDefault="006848E8">
            <w:pPr>
              <w:spacing w:after="0" w:line="240" w:lineRule="auto"/>
              <w:jc w:val="center"/>
              <w:rPr>
                <w:rFonts w:eastAsia="Times New Roman" w:cs="Arial"/>
                <w:color w:val="000000"/>
              </w:rPr>
            </w:pPr>
            <w:r>
              <w:rPr>
                <w:rFonts w:eastAsia="Times New Roman" w:cs="Arial"/>
                <w:color w:val="000000"/>
              </w:rPr>
              <w:t>2070</w:t>
            </w:r>
          </w:p>
        </w:tc>
        <w:tc>
          <w:tcPr>
            <w:tcW w:w="7721" w:type="dxa"/>
            <w:tcBorders>
              <w:top w:val="nil"/>
              <w:left w:val="nil"/>
              <w:bottom w:val="single" w:sz="4" w:space="0" w:color="auto"/>
              <w:right w:val="single" w:sz="4" w:space="0" w:color="auto"/>
            </w:tcBorders>
            <w:shd w:val="clear" w:color="auto" w:fill="auto"/>
            <w:hideMark/>
          </w:tcPr>
          <w:p w:rsidR="002C347E" w:rsidRDefault="006848E8">
            <w:pPr>
              <w:spacing w:after="0" w:line="240" w:lineRule="auto"/>
              <w:rPr>
                <w:rFonts w:eastAsia="Times New Roman" w:cs="Arial"/>
                <w:color w:val="000000"/>
              </w:rPr>
            </w:pPr>
            <w:r>
              <w:rPr>
                <w:rFonts w:eastAsia="Times New Roman" w:cs="Arial"/>
                <w:color w:val="000000"/>
              </w:rPr>
              <w:t xml:space="preserve">Pupil Premium students made up in excess of 60% of the reading intervention classes which was above their representation in the cohort. </w:t>
            </w:r>
          </w:p>
          <w:p w:rsidR="002C347E" w:rsidRDefault="002C347E">
            <w:pPr>
              <w:spacing w:after="0" w:line="240" w:lineRule="auto"/>
              <w:rPr>
                <w:rFonts w:eastAsia="Times New Roman" w:cs="Arial"/>
                <w:color w:val="000000"/>
              </w:rPr>
            </w:pPr>
          </w:p>
          <w:p w:rsidR="002C347E" w:rsidRDefault="006848E8">
            <w:pPr>
              <w:spacing w:after="0" w:line="240" w:lineRule="auto"/>
              <w:rPr>
                <w:rFonts w:eastAsia="Times New Roman" w:cs="Arial"/>
                <w:color w:val="000000"/>
              </w:rPr>
            </w:pPr>
            <w:r>
              <w:rPr>
                <w:rFonts w:eastAsia="Times New Roman" w:cs="Arial"/>
                <w:color w:val="000000"/>
              </w:rPr>
              <w:t xml:space="preserve">Table shows improvement in mean reading ages for </w:t>
            </w:r>
            <w:r>
              <w:rPr>
                <w:rFonts w:eastAsia="Times New Roman" w:cs="Arial"/>
                <w:b/>
                <w:color w:val="000000"/>
                <w:u w:val="single"/>
              </w:rPr>
              <w:t>ALL</w:t>
            </w:r>
            <w:r>
              <w:rPr>
                <w:rFonts w:eastAsia="Times New Roman" w:cs="Arial"/>
                <w:color w:val="000000"/>
              </w:rPr>
              <w:t xml:space="preserve"> students for all year groups</w:t>
            </w:r>
          </w:p>
          <w:p w:rsidR="002C347E" w:rsidRDefault="002C347E">
            <w:pPr>
              <w:spacing w:after="0" w:line="240" w:lineRule="auto"/>
              <w:rPr>
                <w:rFonts w:eastAsia="Times New Roman" w:cs="Arial"/>
                <w:color w:val="000000"/>
              </w:rPr>
            </w:pPr>
          </w:p>
          <w:tbl>
            <w:tblPr>
              <w:tblW w:w="5040" w:type="dxa"/>
              <w:tblLook w:val="04A0" w:firstRow="1" w:lastRow="0" w:firstColumn="1" w:lastColumn="0" w:noHBand="0" w:noVBand="1"/>
            </w:tblPr>
            <w:tblGrid>
              <w:gridCol w:w="2360"/>
              <w:gridCol w:w="2680"/>
            </w:tblGrid>
            <w:tr w:rsidR="002C347E">
              <w:trPr>
                <w:trHeight w:val="600"/>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47E" w:rsidRDefault="006848E8">
                  <w:pPr>
                    <w:spacing w:after="0" w:line="240" w:lineRule="auto"/>
                    <w:rPr>
                      <w:rFonts w:ascii="Calibri" w:eastAsia="Times New Roman" w:hAnsi="Calibri"/>
                      <w:color w:val="000000"/>
                    </w:rPr>
                  </w:pPr>
                  <w:r>
                    <w:rPr>
                      <w:rFonts w:ascii="Calibri" w:eastAsia="Times New Roman" w:hAnsi="Calibri"/>
                      <w:color w:val="000000"/>
                    </w:rPr>
                    <w:t> </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2C347E" w:rsidRDefault="006848E8">
                  <w:pPr>
                    <w:spacing w:after="0" w:line="240" w:lineRule="auto"/>
                    <w:jc w:val="center"/>
                    <w:rPr>
                      <w:rFonts w:ascii="Calibri" w:eastAsia="Times New Roman" w:hAnsi="Calibri"/>
                      <w:color w:val="000000"/>
                    </w:rPr>
                  </w:pPr>
                  <w:r>
                    <w:rPr>
                      <w:rFonts w:ascii="Calibri" w:eastAsia="Times New Roman" w:hAnsi="Calibri"/>
                      <w:color w:val="000000"/>
                    </w:rPr>
                    <w:t>Actual Mean Increase in Reading Age  May-Oct</w:t>
                  </w:r>
                </w:p>
              </w:tc>
            </w:tr>
            <w:tr w:rsidR="002C347E">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2C347E" w:rsidRDefault="006848E8">
                  <w:pPr>
                    <w:spacing w:after="0" w:line="240" w:lineRule="auto"/>
                    <w:rPr>
                      <w:rFonts w:ascii="Calibri" w:eastAsia="Times New Roman" w:hAnsi="Calibri"/>
                      <w:color w:val="000000"/>
                    </w:rPr>
                  </w:pPr>
                  <w:r>
                    <w:rPr>
                      <w:rFonts w:ascii="Calibri" w:eastAsia="Times New Roman" w:hAnsi="Calibri"/>
                      <w:color w:val="000000"/>
                    </w:rPr>
                    <w:t>Mean Reading Age Y11</w:t>
                  </w:r>
                </w:p>
              </w:tc>
              <w:tc>
                <w:tcPr>
                  <w:tcW w:w="2680" w:type="dxa"/>
                  <w:tcBorders>
                    <w:top w:val="nil"/>
                    <w:left w:val="nil"/>
                    <w:bottom w:val="single" w:sz="4" w:space="0" w:color="auto"/>
                    <w:right w:val="single" w:sz="4" w:space="0" w:color="auto"/>
                  </w:tcBorders>
                  <w:shd w:val="clear" w:color="auto" w:fill="auto"/>
                  <w:vAlign w:val="center"/>
                  <w:hideMark/>
                </w:tcPr>
                <w:p w:rsidR="002C347E" w:rsidRDefault="006848E8">
                  <w:pPr>
                    <w:spacing w:after="0" w:line="240" w:lineRule="auto"/>
                    <w:jc w:val="center"/>
                    <w:rPr>
                      <w:rFonts w:ascii="Calibri" w:eastAsia="Times New Roman" w:hAnsi="Calibri"/>
                      <w:color w:val="00B050"/>
                    </w:rPr>
                  </w:pPr>
                  <w:r>
                    <w:rPr>
                      <w:rFonts w:ascii="Calibri" w:eastAsia="Times New Roman" w:hAnsi="Calibri"/>
                      <w:color w:val="00B050"/>
                    </w:rPr>
                    <w:t>1yr 10mths</w:t>
                  </w:r>
                </w:p>
              </w:tc>
            </w:tr>
            <w:tr w:rsidR="002C347E">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2C347E" w:rsidRDefault="006848E8">
                  <w:pPr>
                    <w:spacing w:after="0" w:line="240" w:lineRule="auto"/>
                    <w:rPr>
                      <w:rFonts w:ascii="Calibri" w:eastAsia="Times New Roman" w:hAnsi="Calibri"/>
                      <w:color w:val="000000"/>
                    </w:rPr>
                  </w:pPr>
                  <w:r>
                    <w:rPr>
                      <w:rFonts w:ascii="Calibri" w:eastAsia="Times New Roman" w:hAnsi="Calibri"/>
                      <w:color w:val="000000"/>
                    </w:rPr>
                    <w:t>Mean Reading Age Y10</w:t>
                  </w:r>
                </w:p>
              </w:tc>
              <w:tc>
                <w:tcPr>
                  <w:tcW w:w="2680" w:type="dxa"/>
                  <w:tcBorders>
                    <w:top w:val="nil"/>
                    <w:left w:val="nil"/>
                    <w:bottom w:val="single" w:sz="4" w:space="0" w:color="auto"/>
                    <w:right w:val="single" w:sz="4" w:space="0" w:color="auto"/>
                  </w:tcBorders>
                  <w:shd w:val="clear" w:color="auto" w:fill="auto"/>
                  <w:vAlign w:val="center"/>
                  <w:hideMark/>
                </w:tcPr>
                <w:p w:rsidR="002C347E" w:rsidRDefault="006848E8">
                  <w:pPr>
                    <w:spacing w:after="0" w:line="240" w:lineRule="auto"/>
                    <w:jc w:val="center"/>
                    <w:rPr>
                      <w:rFonts w:ascii="Calibri" w:eastAsia="Times New Roman" w:hAnsi="Calibri"/>
                      <w:color w:val="00B050"/>
                    </w:rPr>
                  </w:pPr>
                  <w:r>
                    <w:rPr>
                      <w:rFonts w:ascii="Calibri" w:eastAsia="Times New Roman" w:hAnsi="Calibri"/>
                      <w:color w:val="00B050"/>
                    </w:rPr>
                    <w:t>1yr 10mths</w:t>
                  </w:r>
                </w:p>
              </w:tc>
            </w:tr>
            <w:tr w:rsidR="002C347E">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2C347E" w:rsidRDefault="006848E8">
                  <w:pPr>
                    <w:spacing w:after="0" w:line="240" w:lineRule="auto"/>
                    <w:rPr>
                      <w:rFonts w:ascii="Calibri" w:eastAsia="Times New Roman" w:hAnsi="Calibri"/>
                      <w:color w:val="000000"/>
                    </w:rPr>
                  </w:pPr>
                  <w:r>
                    <w:rPr>
                      <w:rFonts w:ascii="Calibri" w:eastAsia="Times New Roman" w:hAnsi="Calibri"/>
                      <w:color w:val="000000"/>
                    </w:rPr>
                    <w:t>Mean Reading Age Y9</w:t>
                  </w:r>
                </w:p>
              </w:tc>
              <w:tc>
                <w:tcPr>
                  <w:tcW w:w="2680" w:type="dxa"/>
                  <w:tcBorders>
                    <w:top w:val="nil"/>
                    <w:left w:val="nil"/>
                    <w:bottom w:val="single" w:sz="4" w:space="0" w:color="auto"/>
                    <w:right w:val="single" w:sz="4" w:space="0" w:color="auto"/>
                  </w:tcBorders>
                  <w:shd w:val="clear" w:color="auto" w:fill="auto"/>
                  <w:vAlign w:val="center"/>
                  <w:hideMark/>
                </w:tcPr>
                <w:p w:rsidR="002C347E" w:rsidRDefault="006848E8">
                  <w:pPr>
                    <w:spacing w:after="0" w:line="240" w:lineRule="auto"/>
                    <w:jc w:val="center"/>
                    <w:rPr>
                      <w:rFonts w:ascii="Calibri" w:eastAsia="Times New Roman" w:hAnsi="Calibri"/>
                      <w:color w:val="00B050"/>
                    </w:rPr>
                  </w:pPr>
                  <w:r>
                    <w:rPr>
                      <w:rFonts w:ascii="Calibri" w:eastAsia="Times New Roman" w:hAnsi="Calibri"/>
                      <w:color w:val="00B050"/>
                    </w:rPr>
                    <w:t>2yrs 1mth</w:t>
                  </w:r>
                </w:p>
              </w:tc>
            </w:tr>
            <w:tr w:rsidR="002C347E">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2C347E" w:rsidRDefault="006848E8">
                  <w:pPr>
                    <w:spacing w:after="0" w:line="240" w:lineRule="auto"/>
                    <w:rPr>
                      <w:rFonts w:ascii="Calibri" w:eastAsia="Times New Roman" w:hAnsi="Calibri"/>
                      <w:color w:val="000000"/>
                    </w:rPr>
                  </w:pPr>
                  <w:r>
                    <w:rPr>
                      <w:rFonts w:ascii="Calibri" w:eastAsia="Times New Roman" w:hAnsi="Calibri"/>
                      <w:color w:val="000000"/>
                    </w:rPr>
                    <w:t>Mean Reading Age Y8</w:t>
                  </w:r>
                </w:p>
              </w:tc>
              <w:tc>
                <w:tcPr>
                  <w:tcW w:w="2680" w:type="dxa"/>
                  <w:tcBorders>
                    <w:top w:val="nil"/>
                    <w:left w:val="nil"/>
                    <w:bottom w:val="single" w:sz="4" w:space="0" w:color="auto"/>
                    <w:right w:val="single" w:sz="4" w:space="0" w:color="auto"/>
                  </w:tcBorders>
                  <w:shd w:val="clear" w:color="auto" w:fill="auto"/>
                  <w:vAlign w:val="center"/>
                  <w:hideMark/>
                </w:tcPr>
                <w:p w:rsidR="002C347E" w:rsidRDefault="006848E8">
                  <w:pPr>
                    <w:spacing w:after="0" w:line="240" w:lineRule="auto"/>
                    <w:jc w:val="center"/>
                    <w:rPr>
                      <w:rFonts w:ascii="Calibri" w:eastAsia="Times New Roman" w:hAnsi="Calibri"/>
                      <w:color w:val="00B050"/>
                    </w:rPr>
                  </w:pPr>
                  <w:r>
                    <w:rPr>
                      <w:rFonts w:ascii="Calibri" w:eastAsia="Times New Roman" w:hAnsi="Calibri"/>
                      <w:color w:val="00B050"/>
                    </w:rPr>
                    <w:t>2yrs 1mth</w:t>
                  </w:r>
                </w:p>
              </w:tc>
            </w:tr>
            <w:tr w:rsidR="002C347E">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2C347E" w:rsidRDefault="006848E8">
                  <w:pPr>
                    <w:spacing w:after="0" w:line="240" w:lineRule="auto"/>
                    <w:rPr>
                      <w:rFonts w:ascii="Calibri" w:eastAsia="Times New Roman" w:hAnsi="Calibri"/>
                      <w:color w:val="000000"/>
                    </w:rPr>
                  </w:pPr>
                  <w:r>
                    <w:rPr>
                      <w:rFonts w:ascii="Calibri" w:eastAsia="Times New Roman" w:hAnsi="Calibri"/>
                      <w:color w:val="000000"/>
                    </w:rPr>
                    <w:t>Mean Reading Age Y7</w:t>
                  </w:r>
                </w:p>
              </w:tc>
              <w:tc>
                <w:tcPr>
                  <w:tcW w:w="2680" w:type="dxa"/>
                  <w:tcBorders>
                    <w:top w:val="nil"/>
                    <w:left w:val="nil"/>
                    <w:bottom w:val="single" w:sz="4" w:space="0" w:color="auto"/>
                    <w:right w:val="single" w:sz="4" w:space="0" w:color="auto"/>
                  </w:tcBorders>
                  <w:shd w:val="clear" w:color="000000" w:fill="000000"/>
                  <w:vAlign w:val="center"/>
                  <w:hideMark/>
                </w:tcPr>
                <w:p w:rsidR="002C347E" w:rsidRDefault="006848E8">
                  <w:pPr>
                    <w:spacing w:after="0" w:line="240" w:lineRule="auto"/>
                    <w:jc w:val="center"/>
                    <w:rPr>
                      <w:rFonts w:ascii="Calibri" w:eastAsia="Times New Roman" w:hAnsi="Calibri"/>
                      <w:b/>
                      <w:bCs/>
                      <w:color w:val="000000"/>
                    </w:rPr>
                  </w:pPr>
                  <w:r>
                    <w:rPr>
                      <w:rFonts w:ascii="Calibri" w:eastAsia="Calibri" w:hAnsi="Calibri"/>
                      <w:b/>
                      <w:bCs/>
                      <w:color w:val="000000"/>
                    </w:rPr>
                    <w:t> </w:t>
                  </w:r>
                </w:p>
              </w:tc>
            </w:tr>
          </w:tbl>
          <w:p w:rsidR="002C347E" w:rsidRDefault="002C347E">
            <w:pPr>
              <w:tabs>
                <w:tab w:val="left" w:pos="1740"/>
              </w:tabs>
              <w:spacing w:after="0" w:line="240" w:lineRule="auto"/>
              <w:rPr>
                <w:rFonts w:eastAsia="Times New Roman" w:cs="Arial"/>
                <w:color w:val="000000"/>
              </w:rPr>
            </w:pPr>
          </w:p>
        </w:tc>
      </w:tr>
      <w:tr w:rsidR="002C347E">
        <w:trPr>
          <w:trHeight w:val="5382"/>
        </w:trPr>
        <w:tc>
          <w:tcPr>
            <w:tcW w:w="5807" w:type="dxa"/>
            <w:tcBorders>
              <w:top w:val="nil"/>
              <w:left w:val="single" w:sz="4" w:space="0" w:color="auto"/>
              <w:bottom w:val="single" w:sz="4" w:space="0" w:color="auto"/>
              <w:right w:val="single" w:sz="4" w:space="0" w:color="auto"/>
            </w:tcBorders>
            <w:shd w:val="clear" w:color="auto" w:fill="auto"/>
            <w:hideMark/>
          </w:tcPr>
          <w:p w:rsidR="002C347E" w:rsidRDefault="006848E8" w:rsidP="00450FC5">
            <w:pPr>
              <w:spacing w:after="0" w:line="240" w:lineRule="auto"/>
              <w:rPr>
                <w:rFonts w:eastAsia="Times New Roman" w:cs="Arial"/>
                <w:color w:val="000000"/>
              </w:rPr>
            </w:pPr>
            <w:r>
              <w:rPr>
                <w:rFonts w:eastAsia="Times New Roman" w:cs="Arial"/>
                <w:color w:val="000000"/>
              </w:rPr>
              <w:t xml:space="preserve">Strategy needed to track pupil behaviour by group, but specifically with a Pupil Premium focus. 60% of Assistant Progress Leaders time. Pupils entitled to the </w:t>
            </w:r>
            <w:r w:rsidR="00450FC5">
              <w:rPr>
                <w:rFonts w:eastAsia="Times New Roman" w:cs="Arial"/>
                <w:color w:val="000000"/>
              </w:rPr>
              <w:t>Pupil P</w:t>
            </w:r>
            <w:r>
              <w:rPr>
                <w:rFonts w:eastAsia="Times New Roman" w:cs="Arial"/>
                <w:color w:val="000000"/>
              </w:rPr>
              <w:t>remium</w:t>
            </w:r>
            <w:r w:rsidR="006B2CF0">
              <w:rPr>
                <w:rFonts w:eastAsia="Times New Roman" w:cs="Arial"/>
                <w:color w:val="000000"/>
              </w:rPr>
              <w:t xml:space="preserve"> Grant</w:t>
            </w:r>
            <w:r>
              <w:rPr>
                <w:rFonts w:eastAsia="Times New Roman" w:cs="Arial"/>
                <w:color w:val="000000"/>
              </w:rPr>
              <w:t xml:space="preserve"> are tracked extensively throughout their time at school.  Assistant Progress Leaders are held to account for the progress of Pupil Premium students in line management meetings, so that we can see how they doing in comparison to their peers.  </w:t>
            </w:r>
          </w:p>
        </w:tc>
        <w:tc>
          <w:tcPr>
            <w:tcW w:w="992" w:type="dxa"/>
            <w:tcBorders>
              <w:top w:val="nil"/>
              <w:left w:val="nil"/>
              <w:bottom w:val="single" w:sz="4" w:space="0" w:color="auto"/>
              <w:right w:val="single" w:sz="4" w:space="0" w:color="auto"/>
            </w:tcBorders>
            <w:shd w:val="clear" w:color="auto" w:fill="auto"/>
            <w:hideMark/>
          </w:tcPr>
          <w:p w:rsidR="002C347E" w:rsidRDefault="006848E8">
            <w:pPr>
              <w:spacing w:after="0" w:line="240" w:lineRule="auto"/>
              <w:jc w:val="center"/>
              <w:rPr>
                <w:rFonts w:eastAsia="Times New Roman" w:cs="Arial"/>
                <w:color w:val="000000"/>
              </w:rPr>
            </w:pPr>
            <w:r>
              <w:rPr>
                <w:rFonts w:eastAsia="Times New Roman" w:cs="Arial"/>
                <w:color w:val="000000"/>
              </w:rPr>
              <w:t>71233</w:t>
            </w:r>
          </w:p>
        </w:tc>
        <w:tc>
          <w:tcPr>
            <w:tcW w:w="7721" w:type="dxa"/>
            <w:tcBorders>
              <w:top w:val="nil"/>
              <w:left w:val="nil"/>
              <w:bottom w:val="single" w:sz="4" w:space="0" w:color="auto"/>
              <w:right w:val="single" w:sz="4" w:space="0" w:color="auto"/>
            </w:tcBorders>
            <w:shd w:val="clear" w:color="auto" w:fill="auto"/>
            <w:hideMark/>
          </w:tcPr>
          <w:p w:rsidR="005D1136" w:rsidRDefault="005D1136">
            <w:pPr>
              <w:spacing w:line="240" w:lineRule="auto"/>
            </w:pPr>
            <w:r>
              <w:t>APL staff supported the r</w:t>
            </w:r>
            <w:r w:rsidR="006848E8">
              <w:t xml:space="preserve">eduction in the number of Pupil Premium students </w:t>
            </w:r>
            <w:r>
              <w:t>receiving fixed term exclusions:</w:t>
            </w:r>
          </w:p>
          <w:p w:rsidR="002C347E" w:rsidRDefault="006848E8">
            <w:pPr>
              <w:spacing w:line="240" w:lineRule="auto"/>
            </w:pPr>
            <w:r>
              <w:t>December 2016 – 79% of exclusions are Pupil Premium learners - March 2017 – 66% of exclusions are Pupil Premium learners.</w:t>
            </w:r>
          </w:p>
          <w:tbl>
            <w:tblPr>
              <w:tblW w:w="0" w:type="auto"/>
              <w:tblCellMar>
                <w:left w:w="0" w:type="dxa"/>
                <w:right w:w="0" w:type="dxa"/>
              </w:tblCellMar>
              <w:tblLook w:val="04A0" w:firstRow="1" w:lastRow="0" w:firstColumn="1" w:lastColumn="0" w:noHBand="0" w:noVBand="1"/>
            </w:tblPr>
            <w:tblGrid>
              <w:gridCol w:w="1231"/>
              <w:gridCol w:w="1357"/>
              <w:gridCol w:w="1549"/>
            </w:tblGrid>
            <w:tr w:rsidR="002C347E">
              <w:trPr>
                <w:trHeight w:val="812"/>
              </w:trPr>
              <w:tc>
                <w:tcPr>
                  <w:tcW w:w="12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347E" w:rsidRDefault="006848E8">
                  <w:pPr>
                    <w:spacing w:line="240" w:lineRule="auto"/>
                    <w:jc w:val="center"/>
                  </w:pPr>
                  <w:r>
                    <w:t>Time period</w:t>
                  </w:r>
                </w:p>
              </w:tc>
              <w:tc>
                <w:tcPr>
                  <w:tcW w:w="13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347E" w:rsidRDefault="006848E8">
                  <w:pPr>
                    <w:spacing w:line="240" w:lineRule="auto"/>
                    <w:jc w:val="center"/>
                  </w:pPr>
                  <w:r>
                    <w:t>Number of Exclusions (by session)</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347E" w:rsidRDefault="006848E8">
                  <w:pPr>
                    <w:spacing w:line="240" w:lineRule="auto"/>
                    <w:jc w:val="center"/>
                  </w:pPr>
                  <w:r>
                    <w:t>Percentage of incidents attributed to PP students</w:t>
                  </w:r>
                </w:p>
              </w:tc>
            </w:tr>
            <w:tr w:rsidR="002C347E">
              <w:trPr>
                <w:trHeight w:val="187"/>
              </w:trPr>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7E" w:rsidRDefault="006848E8">
                  <w:pPr>
                    <w:spacing w:line="240" w:lineRule="auto"/>
                    <w:jc w:val="center"/>
                  </w:pPr>
                  <w:r>
                    <w:t>Half term 1</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347E" w:rsidRDefault="006848E8">
                  <w:pPr>
                    <w:spacing w:line="240" w:lineRule="auto"/>
                    <w:jc w:val="center"/>
                  </w:pPr>
                  <w:r>
                    <w:t>76</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347E" w:rsidRDefault="006848E8">
                  <w:pPr>
                    <w:spacing w:line="240" w:lineRule="auto"/>
                    <w:jc w:val="center"/>
                  </w:pPr>
                  <w:r>
                    <w:t>64% (49/76)</w:t>
                  </w:r>
                </w:p>
              </w:tc>
            </w:tr>
            <w:tr w:rsidR="002C347E">
              <w:trPr>
                <w:trHeight w:val="203"/>
              </w:trPr>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7E" w:rsidRDefault="006848E8">
                  <w:pPr>
                    <w:spacing w:line="240" w:lineRule="auto"/>
                    <w:jc w:val="center"/>
                  </w:pPr>
                  <w:r>
                    <w:t>Half term 2</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347E" w:rsidRDefault="006848E8">
                  <w:pPr>
                    <w:spacing w:line="240" w:lineRule="auto"/>
                    <w:jc w:val="center"/>
                  </w:pPr>
                  <w:r>
                    <w:t>102</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347E" w:rsidRDefault="006848E8">
                  <w:pPr>
                    <w:spacing w:line="240" w:lineRule="auto"/>
                    <w:jc w:val="center"/>
                  </w:pPr>
                  <w:r>
                    <w:t>79% (81/102)</w:t>
                  </w:r>
                </w:p>
              </w:tc>
            </w:tr>
            <w:tr w:rsidR="002C347E">
              <w:trPr>
                <w:trHeight w:val="203"/>
              </w:trPr>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7E" w:rsidRDefault="006848E8">
                  <w:pPr>
                    <w:spacing w:line="240" w:lineRule="auto"/>
                    <w:jc w:val="center"/>
                  </w:pPr>
                  <w:r>
                    <w:t>Half term 3</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347E" w:rsidRDefault="006848E8">
                  <w:pPr>
                    <w:spacing w:line="240" w:lineRule="auto"/>
                    <w:jc w:val="center"/>
                  </w:pPr>
                  <w:r>
                    <w:t>60</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347E" w:rsidRDefault="006848E8">
                  <w:pPr>
                    <w:spacing w:line="240" w:lineRule="auto"/>
                    <w:jc w:val="center"/>
                  </w:pPr>
                  <w:r>
                    <w:t>62% (37/60)</w:t>
                  </w:r>
                </w:p>
              </w:tc>
            </w:tr>
            <w:tr w:rsidR="002C347E">
              <w:trPr>
                <w:trHeight w:val="203"/>
              </w:trPr>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7E" w:rsidRDefault="006848E8">
                  <w:pPr>
                    <w:spacing w:line="240" w:lineRule="auto"/>
                    <w:jc w:val="center"/>
                  </w:pPr>
                  <w:r>
                    <w:t>Half term 4</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347E" w:rsidRDefault="006848E8">
                  <w:pPr>
                    <w:spacing w:line="240" w:lineRule="auto"/>
                    <w:jc w:val="center"/>
                  </w:pPr>
                  <w:r>
                    <w:t>50</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347E" w:rsidRDefault="006848E8">
                  <w:pPr>
                    <w:spacing w:line="240" w:lineRule="auto"/>
                    <w:jc w:val="center"/>
                  </w:pPr>
                  <w:r>
                    <w:t>62% (31/50)</w:t>
                  </w:r>
                </w:p>
              </w:tc>
            </w:tr>
            <w:tr w:rsidR="002C347E">
              <w:trPr>
                <w:trHeight w:val="187"/>
              </w:trPr>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7E" w:rsidRDefault="006848E8">
                  <w:pPr>
                    <w:spacing w:line="240" w:lineRule="auto"/>
                    <w:jc w:val="center"/>
                  </w:pPr>
                  <w:r>
                    <w:t>Half term 5</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347E" w:rsidRDefault="006848E8">
                  <w:pPr>
                    <w:spacing w:line="240" w:lineRule="auto"/>
                    <w:jc w:val="center"/>
                  </w:pPr>
                  <w:r>
                    <w:t>59</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347E" w:rsidRDefault="006848E8">
                  <w:pPr>
                    <w:spacing w:line="240" w:lineRule="auto"/>
                    <w:jc w:val="center"/>
                  </w:pPr>
                  <w:r>
                    <w:t>66% (39/59)</w:t>
                  </w:r>
                </w:p>
              </w:tc>
            </w:tr>
          </w:tbl>
          <w:p w:rsidR="002C347E" w:rsidRDefault="002C347E">
            <w:pPr>
              <w:spacing w:after="0" w:line="240" w:lineRule="auto"/>
              <w:rPr>
                <w:rFonts w:eastAsia="Times New Roman" w:cs="Arial"/>
                <w:color w:val="000000"/>
              </w:rPr>
            </w:pPr>
          </w:p>
          <w:p w:rsidR="004835FF" w:rsidRDefault="004835FF" w:rsidP="004835FF">
            <w:pPr>
              <w:spacing w:after="0" w:line="240" w:lineRule="auto"/>
              <w:rPr>
                <w:rFonts w:eastAsia="Times New Roman" w:cs="Arial"/>
                <w:color w:val="000000"/>
              </w:rPr>
            </w:pPr>
            <w:r>
              <w:rPr>
                <w:rFonts w:eastAsia="Times New Roman" w:cs="Arial"/>
                <w:color w:val="000000"/>
              </w:rPr>
              <w:t>Average attendance to the academy for Pupil Premium students was 91.57% compared to 95.98 for their non-Pupil Premium peers.</w:t>
            </w:r>
          </w:p>
          <w:p w:rsidR="004835FF" w:rsidRDefault="004835FF" w:rsidP="004835FF">
            <w:pPr>
              <w:spacing w:after="0" w:line="240" w:lineRule="auto"/>
              <w:rPr>
                <w:rFonts w:eastAsia="Times New Roman" w:cs="Arial"/>
                <w:color w:val="000000"/>
              </w:rPr>
            </w:pPr>
            <w:r>
              <w:rPr>
                <w:rFonts w:eastAsia="Times New Roman" w:cs="Arial"/>
                <w:color w:val="000000"/>
              </w:rPr>
              <w:t>In year 11 average Attendance to the academy for Pupil Premium students was 92% compared to 95.18 for their non-Pupil Premium peers.</w:t>
            </w:r>
          </w:p>
          <w:p w:rsidR="004835FF" w:rsidRDefault="004835FF" w:rsidP="004835FF">
            <w:pPr>
              <w:spacing w:after="0" w:line="240" w:lineRule="auto"/>
              <w:rPr>
                <w:rFonts w:eastAsia="Times New Roman" w:cs="Arial"/>
                <w:color w:val="000000"/>
              </w:rPr>
            </w:pPr>
            <w:r>
              <w:rPr>
                <w:rFonts w:eastAsia="Times New Roman" w:cs="Arial"/>
                <w:color w:val="000000"/>
              </w:rPr>
              <w:t>25.9% of Pupil Premium students were classified as persistently absent compared to 11.17% for their non-Pupil Premium peers.</w:t>
            </w:r>
          </w:p>
          <w:p w:rsidR="004835FF" w:rsidRDefault="004835FF" w:rsidP="004835FF">
            <w:pPr>
              <w:spacing w:after="0" w:line="240" w:lineRule="auto"/>
              <w:rPr>
                <w:rFonts w:eastAsia="Times New Roman" w:cs="Arial"/>
                <w:color w:val="000000"/>
              </w:rPr>
            </w:pPr>
            <w:r>
              <w:rPr>
                <w:rFonts w:eastAsia="Times New Roman" w:cs="Arial"/>
                <w:color w:val="000000"/>
              </w:rPr>
              <w:t>On average Pupil Premium students had received 135 behaviour points per student compared to 58 for their non-Pupil Premium peers.</w:t>
            </w:r>
          </w:p>
          <w:p w:rsidR="004835FF" w:rsidRDefault="004835FF" w:rsidP="004835FF">
            <w:pPr>
              <w:spacing w:after="0" w:line="240" w:lineRule="auto"/>
              <w:rPr>
                <w:rFonts w:eastAsia="Times New Roman" w:cs="Arial"/>
                <w:color w:val="000000"/>
              </w:rPr>
            </w:pPr>
            <w:r>
              <w:rPr>
                <w:rFonts w:eastAsia="Times New Roman" w:cs="Arial"/>
                <w:color w:val="000000"/>
              </w:rPr>
              <w:t>On average Pupil premium students had received 143 achievement points per student compared to 166 for their non-Pupil Premium peers.</w:t>
            </w:r>
          </w:p>
        </w:tc>
      </w:tr>
      <w:tr w:rsidR="002C347E">
        <w:trPr>
          <w:trHeight w:val="4243"/>
        </w:trPr>
        <w:tc>
          <w:tcPr>
            <w:tcW w:w="5807" w:type="dxa"/>
            <w:tcBorders>
              <w:top w:val="nil"/>
              <w:left w:val="single" w:sz="4" w:space="0" w:color="auto"/>
              <w:bottom w:val="single" w:sz="4" w:space="0" w:color="auto"/>
              <w:right w:val="single" w:sz="4" w:space="0" w:color="auto"/>
            </w:tcBorders>
            <w:shd w:val="clear" w:color="auto" w:fill="auto"/>
            <w:hideMark/>
          </w:tcPr>
          <w:p w:rsidR="002C347E" w:rsidRDefault="006848E8">
            <w:pPr>
              <w:spacing w:after="0" w:line="240" w:lineRule="auto"/>
              <w:rPr>
                <w:rFonts w:eastAsia="Times New Roman" w:cs="Arial"/>
                <w:color w:val="000000"/>
              </w:rPr>
            </w:pPr>
            <w:r>
              <w:rPr>
                <w:rFonts w:eastAsia="Times New Roman" w:cs="Arial"/>
                <w:color w:val="000000"/>
              </w:rPr>
              <w:t xml:space="preserve">Additional Progress Leaders TLR so that each year group has a teaching member of staff monitoring and supporting Pupil Premium.  Pupils entitled to the Pupil Premium Grant are tracked extensively throughout their time at school.  Progress Leaders are held to account for the progress of Pupil Premium students in line management meetings, so that we can see how they doing in comparison to their peers.  </w:t>
            </w:r>
          </w:p>
          <w:p w:rsidR="000E16C8" w:rsidRDefault="000E16C8">
            <w:pPr>
              <w:spacing w:after="0" w:line="240" w:lineRule="auto"/>
              <w:rPr>
                <w:rFonts w:eastAsia="Times New Roman" w:cs="Arial"/>
                <w:color w:val="000000"/>
              </w:rPr>
            </w:pPr>
          </w:p>
          <w:p w:rsidR="000E16C8" w:rsidRDefault="000E16C8">
            <w:pPr>
              <w:spacing w:after="0" w:line="240" w:lineRule="auto"/>
              <w:rPr>
                <w:rFonts w:eastAsia="Times New Roman" w:cs="Arial"/>
                <w:color w:val="000000"/>
              </w:rPr>
            </w:pPr>
          </w:p>
          <w:p w:rsidR="000E16C8" w:rsidRDefault="000E16C8">
            <w:pPr>
              <w:spacing w:after="0" w:line="240" w:lineRule="auto"/>
              <w:rPr>
                <w:rFonts w:eastAsia="Times New Roman" w:cs="Arial"/>
                <w:color w:val="000000"/>
              </w:rPr>
            </w:pPr>
          </w:p>
          <w:p w:rsidR="000E16C8" w:rsidRDefault="000E16C8">
            <w:pPr>
              <w:spacing w:after="0" w:line="240" w:lineRule="auto"/>
              <w:rPr>
                <w:rFonts w:eastAsia="Times New Roman" w:cs="Arial"/>
                <w:color w:val="000000"/>
              </w:rPr>
            </w:pPr>
          </w:p>
          <w:p w:rsidR="000E16C8" w:rsidRDefault="000E16C8">
            <w:pPr>
              <w:spacing w:after="0" w:line="240" w:lineRule="auto"/>
              <w:rPr>
                <w:rFonts w:eastAsia="Times New Roman" w:cs="Arial"/>
                <w:color w:val="000000"/>
              </w:rPr>
            </w:pPr>
          </w:p>
          <w:p w:rsidR="000E16C8" w:rsidRDefault="000E16C8">
            <w:pPr>
              <w:spacing w:after="0" w:line="240" w:lineRule="auto"/>
              <w:rPr>
                <w:rFonts w:eastAsia="Times New Roman" w:cs="Arial"/>
                <w:color w:val="000000"/>
              </w:rPr>
            </w:pPr>
          </w:p>
          <w:p w:rsidR="000E16C8" w:rsidRDefault="000E16C8">
            <w:pPr>
              <w:spacing w:after="0" w:line="240" w:lineRule="auto"/>
              <w:rPr>
                <w:rFonts w:eastAsia="Times New Roman" w:cs="Arial"/>
                <w:color w:val="000000"/>
              </w:rPr>
            </w:pPr>
          </w:p>
          <w:p w:rsidR="000E16C8" w:rsidRDefault="000E16C8">
            <w:pPr>
              <w:spacing w:after="0" w:line="240" w:lineRule="auto"/>
              <w:rPr>
                <w:rFonts w:eastAsia="Times New Roman" w:cs="Arial"/>
                <w:color w:val="000000"/>
              </w:rPr>
            </w:pPr>
          </w:p>
          <w:p w:rsidR="000E16C8" w:rsidRDefault="000E16C8">
            <w:pPr>
              <w:spacing w:after="0" w:line="240" w:lineRule="auto"/>
              <w:rPr>
                <w:rFonts w:eastAsia="Times New Roman" w:cs="Arial"/>
                <w:color w:val="000000"/>
              </w:rPr>
            </w:pPr>
          </w:p>
          <w:p w:rsidR="000E16C8" w:rsidRDefault="000E16C8">
            <w:pPr>
              <w:spacing w:after="0" w:line="240" w:lineRule="auto"/>
              <w:rPr>
                <w:rFonts w:eastAsia="Times New Roman" w:cs="Arial"/>
                <w:color w:val="000000"/>
              </w:rPr>
            </w:pPr>
          </w:p>
          <w:p w:rsidR="000E16C8" w:rsidRDefault="000E16C8">
            <w:pPr>
              <w:spacing w:after="0" w:line="240" w:lineRule="auto"/>
              <w:rPr>
                <w:rFonts w:eastAsia="Times New Roman" w:cs="Arial"/>
                <w:color w:val="000000"/>
              </w:rPr>
            </w:pPr>
          </w:p>
          <w:p w:rsidR="000E16C8" w:rsidRDefault="000E16C8">
            <w:pPr>
              <w:spacing w:after="0" w:line="240" w:lineRule="auto"/>
              <w:rPr>
                <w:rFonts w:eastAsia="Times New Roman" w:cs="Arial"/>
                <w:color w:val="000000"/>
              </w:rPr>
            </w:pPr>
          </w:p>
          <w:p w:rsidR="000E16C8" w:rsidRDefault="000E16C8">
            <w:pPr>
              <w:spacing w:after="0" w:line="240" w:lineRule="auto"/>
              <w:rPr>
                <w:rFonts w:eastAsia="Times New Roman" w:cs="Arial"/>
                <w:color w:val="000000"/>
              </w:rPr>
            </w:pPr>
          </w:p>
          <w:p w:rsidR="000E16C8" w:rsidRDefault="000E16C8">
            <w:pPr>
              <w:spacing w:after="0" w:line="240" w:lineRule="auto"/>
              <w:rPr>
                <w:rFonts w:eastAsia="Times New Roman" w:cs="Arial"/>
                <w:color w:val="000000"/>
              </w:rPr>
            </w:pPr>
          </w:p>
          <w:p w:rsidR="000E16C8" w:rsidRDefault="000E16C8">
            <w:pPr>
              <w:spacing w:after="0" w:line="240" w:lineRule="auto"/>
              <w:rPr>
                <w:rFonts w:eastAsia="Times New Roman" w:cs="Arial"/>
                <w:color w:val="000000"/>
              </w:rPr>
            </w:pPr>
          </w:p>
          <w:p w:rsidR="000E16C8" w:rsidRDefault="000E16C8">
            <w:pPr>
              <w:spacing w:after="0" w:line="240" w:lineRule="auto"/>
              <w:rPr>
                <w:rFonts w:eastAsia="Times New Roman" w:cs="Arial"/>
                <w:color w:val="000000"/>
              </w:rPr>
            </w:pPr>
          </w:p>
          <w:p w:rsidR="000E16C8" w:rsidRDefault="000E16C8">
            <w:pPr>
              <w:spacing w:after="0" w:line="240" w:lineRule="auto"/>
              <w:rPr>
                <w:rFonts w:eastAsia="Times New Roman" w:cs="Arial"/>
                <w:color w:val="000000"/>
              </w:rPr>
            </w:pPr>
          </w:p>
          <w:p w:rsidR="000E16C8" w:rsidRDefault="000E16C8">
            <w:pPr>
              <w:spacing w:after="0" w:line="240" w:lineRule="auto"/>
              <w:rPr>
                <w:rFonts w:eastAsia="Times New Roman" w:cs="Arial"/>
                <w:color w:val="000000"/>
              </w:rPr>
            </w:pPr>
          </w:p>
          <w:p w:rsidR="000E16C8" w:rsidRDefault="000E16C8">
            <w:pPr>
              <w:spacing w:after="0" w:line="240" w:lineRule="auto"/>
              <w:rPr>
                <w:rFonts w:eastAsia="Times New Roman" w:cs="Arial"/>
                <w:color w:val="000000"/>
              </w:rPr>
            </w:pPr>
          </w:p>
          <w:p w:rsidR="000E16C8" w:rsidRDefault="000E16C8">
            <w:pPr>
              <w:spacing w:after="0" w:line="240" w:lineRule="auto"/>
              <w:rPr>
                <w:rFonts w:eastAsia="Times New Roman" w:cs="Arial"/>
                <w:color w:val="000000"/>
              </w:rPr>
            </w:pPr>
          </w:p>
          <w:p w:rsidR="000E16C8" w:rsidRDefault="000E16C8">
            <w:pPr>
              <w:spacing w:after="0" w:line="240" w:lineRule="auto"/>
              <w:rPr>
                <w:rFonts w:eastAsia="Times New Roman" w:cs="Arial"/>
                <w:color w:val="000000"/>
              </w:rPr>
            </w:pPr>
          </w:p>
          <w:p w:rsidR="000E16C8" w:rsidRDefault="000E16C8">
            <w:pPr>
              <w:spacing w:after="0" w:line="240" w:lineRule="auto"/>
              <w:rPr>
                <w:rFonts w:eastAsia="Times New Roman" w:cs="Arial"/>
                <w:color w:val="000000"/>
              </w:rPr>
            </w:pPr>
          </w:p>
          <w:p w:rsidR="000E16C8" w:rsidRDefault="000E16C8">
            <w:pPr>
              <w:spacing w:after="0" w:line="240" w:lineRule="auto"/>
              <w:rPr>
                <w:rFonts w:eastAsia="Times New Roman" w:cs="Arial"/>
                <w:color w:val="000000"/>
              </w:rPr>
            </w:pPr>
          </w:p>
          <w:p w:rsidR="000E16C8" w:rsidRDefault="000E16C8">
            <w:pPr>
              <w:spacing w:after="0" w:line="240" w:lineRule="auto"/>
              <w:rPr>
                <w:rFonts w:eastAsia="Times New Roman" w:cs="Arial"/>
                <w:color w:val="000000"/>
              </w:rPr>
            </w:pPr>
          </w:p>
          <w:p w:rsidR="000E16C8" w:rsidRDefault="000E16C8">
            <w:pPr>
              <w:spacing w:after="0" w:line="240" w:lineRule="auto"/>
              <w:rPr>
                <w:rFonts w:eastAsia="Times New Roman" w:cs="Arial"/>
                <w:color w:val="000000"/>
              </w:rPr>
            </w:pPr>
          </w:p>
        </w:tc>
        <w:tc>
          <w:tcPr>
            <w:tcW w:w="992" w:type="dxa"/>
            <w:tcBorders>
              <w:top w:val="nil"/>
              <w:left w:val="nil"/>
              <w:bottom w:val="single" w:sz="4" w:space="0" w:color="auto"/>
              <w:right w:val="single" w:sz="4" w:space="0" w:color="auto"/>
            </w:tcBorders>
            <w:shd w:val="clear" w:color="auto" w:fill="auto"/>
            <w:noWrap/>
            <w:hideMark/>
          </w:tcPr>
          <w:p w:rsidR="002C347E" w:rsidRDefault="006848E8">
            <w:pPr>
              <w:spacing w:after="0" w:line="240" w:lineRule="auto"/>
              <w:jc w:val="center"/>
              <w:rPr>
                <w:rFonts w:eastAsia="Times New Roman" w:cs="Arial"/>
                <w:color w:val="000000"/>
              </w:rPr>
            </w:pPr>
            <w:r>
              <w:rPr>
                <w:rFonts w:eastAsia="Times New Roman" w:cs="Arial"/>
                <w:color w:val="000000"/>
              </w:rPr>
              <w:t>18000</w:t>
            </w:r>
          </w:p>
          <w:p w:rsidR="002C347E" w:rsidRDefault="002C347E">
            <w:pPr>
              <w:spacing w:after="0" w:line="240" w:lineRule="auto"/>
              <w:jc w:val="center"/>
              <w:rPr>
                <w:rFonts w:eastAsia="Times New Roman" w:cs="Arial"/>
                <w:color w:val="000000"/>
              </w:rPr>
            </w:pPr>
          </w:p>
        </w:tc>
        <w:tc>
          <w:tcPr>
            <w:tcW w:w="7721" w:type="dxa"/>
            <w:tcBorders>
              <w:top w:val="nil"/>
              <w:left w:val="nil"/>
              <w:bottom w:val="single" w:sz="4" w:space="0" w:color="auto"/>
              <w:right w:val="single" w:sz="4" w:space="0" w:color="auto"/>
            </w:tcBorders>
            <w:shd w:val="clear" w:color="auto" w:fill="auto"/>
            <w:hideMark/>
          </w:tcPr>
          <w:p w:rsidR="002C347E" w:rsidRDefault="006848E8">
            <w:pPr>
              <w:spacing w:line="240" w:lineRule="auto"/>
            </w:pPr>
            <w:r>
              <w:t>Average attendance to key exams was significantly higher than for average school days.</w:t>
            </w:r>
          </w:p>
          <w:tbl>
            <w:tblPr>
              <w:tblW w:w="7453" w:type="dxa"/>
              <w:jc w:val="center"/>
              <w:tblCellMar>
                <w:left w:w="0" w:type="dxa"/>
                <w:right w:w="0" w:type="dxa"/>
              </w:tblCellMar>
              <w:tblLook w:val="04A0" w:firstRow="1" w:lastRow="0" w:firstColumn="1" w:lastColumn="0" w:noHBand="0" w:noVBand="1"/>
            </w:tblPr>
            <w:tblGrid>
              <w:gridCol w:w="1605"/>
              <w:gridCol w:w="1044"/>
              <w:gridCol w:w="1568"/>
              <w:gridCol w:w="2028"/>
              <w:gridCol w:w="1208"/>
            </w:tblGrid>
            <w:tr w:rsidR="002C347E" w:rsidTr="004835FF">
              <w:trPr>
                <w:trHeight w:val="598"/>
                <w:jc w:val="center"/>
              </w:trPr>
              <w:tc>
                <w:tcPr>
                  <w:tcW w:w="1605" w:type="dxa"/>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vAlign w:val="center"/>
                  <w:hideMark/>
                </w:tcPr>
                <w:p w:rsidR="002C347E" w:rsidRDefault="002C347E">
                  <w:pPr>
                    <w:spacing w:line="240" w:lineRule="auto"/>
                  </w:pPr>
                </w:p>
              </w:tc>
              <w:tc>
                <w:tcPr>
                  <w:tcW w:w="1044" w:type="dxa"/>
                  <w:tcBorders>
                    <w:top w:val="single" w:sz="8" w:space="0" w:color="000000"/>
                    <w:left w:val="nil"/>
                    <w:bottom w:val="single" w:sz="8" w:space="0" w:color="000000"/>
                    <w:right w:val="single" w:sz="8" w:space="0" w:color="000000"/>
                  </w:tcBorders>
                  <w:noWrap/>
                  <w:tcMar>
                    <w:top w:w="15" w:type="dxa"/>
                    <w:left w:w="15" w:type="dxa"/>
                    <w:bottom w:w="15" w:type="dxa"/>
                    <w:right w:w="15" w:type="dxa"/>
                  </w:tcMar>
                  <w:vAlign w:val="center"/>
                  <w:hideMark/>
                </w:tcPr>
                <w:p w:rsidR="002C347E" w:rsidRDefault="006848E8">
                  <w:pPr>
                    <w:spacing w:line="240" w:lineRule="auto"/>
                    <w:jc w:val="center"/>
                    <w:rPr>
                      <w:rFonts w:eastAsiaTheme="minorHAnsi"/>
                      <w:b/>
                      <w:bCs/>
                      <w:lang w:eastAsia="en-US"/>
                    </w:rPr>
                  </w:pPr>
                  <w:r>
                    <w:rPr>
                      <w:b/>
                      <w:bCs/>
                    </w:rPr>
                    <w:t>Pupils in group</w:t>
                  </w:r>
                </w:p>
              </w:tc>
              <w:tc>
                <w:tcPr>
                  <w:tcW w:w="1568" w:type="dxa"/>
                  <w:tcBorders>
                    <w:top w:val="single" w:sz="8" w:space="0" w:color="000000"/>
                    <w:left w:val="nil"/>
                    <w:bottom w:val="single" w:sz="8" w:space="0" w:color="000000"/>
                    <w:right w:val="single" w:sz="8" w:space="0" w:color="000000"/>
                  </w:tcBorders>
                  <w:noWrap/>
                  <w:tcMar>
                    <w:top w:w="15" w:type="dxa"/>
                    <w:left w:w="15" w:type="dxa"/>
                    <w:bottom w:w="15" w:type="dxa"/>
                    <w:right w:w="15" w:type="dxa"/>
                  </w:tcMar>
                  <w:vAlign w:val="center"/>
                  <w:hideMark/>
                </w:tcPr>
                <w:p w:rsidR="002C347E" w:rsidRDefault="006848E8">
                  <w:pPr>
                    <w:spacing w:line="240" w:lineRule="auto"/>
                    <w:jc w:val="center"/>
                    <w:rPr>
                      <w:b/>
                      <w:bCs/>
                    </w:rPr>
                  </w:pPr>
                  <w:r>
                    <w:rPr>
                      <w:b/>
                      <w:bCs/>
                    </w:rPr>
                    <w:t>Attendances during the exam period (15/5 – 15/6)</w:t>
                  </w:r>
                </w:p>
              </w:tc>
              <w:tc>
                <w:tcPr>
                  <w:tcW w:w="2028"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2C347E" w:rsidRDefault="006848E8">
                  <w:pPr>
                    <w:spacing w:line="240" w:lineRule="auto"/>
                    <w:jc w:val="center"/>
                    <w:rPr>
                      <w:b/>
                      <w:bCs/>
                    </w:rPr>
                  </w:pPr>
                  <w:r>
                    <w:rPr>
                      <w:b/>
                      <w:bCs/>
                    </w:rPr>
                    <w:t>Attendance during the academic year (September to May)</w:t>
                  </w:r>
                </w:p>
              </w:tc>
              <w:tc>
                <w:tcPr>
                  <w:tcW w:w="1208"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2C347E" w:rsidRDefault="006848E8">
                  <w:pPr>
                    <w:spacing w:line="240" w:lineRule="auto"/>
                    <w:rPr>
                      <w:b/>
                      <w:bCs/>
                    </w:rPr>
                  </w:pPr>
                  <w:r>
                    <w:rPr>
                      <w:b/>
                      <w:bCs/>
                    </w:rPr>
                    <w:t>Difference</w:t>
                  </w:r>
                </w:p>
              </w:tc>
            </w:tr>
            <w:tr w:rsidR="002C347E" w:rsidTr="004835FF">
              <w:trPr>
                <w:trHeight w:val="207"/>
                <w:jc w:val="center"/>
              </w:trPr>
              <w:tc>
                <w:tcPr>
                  <w:tcW w:w="1605" w:type="dxa"/>
                  <w:tcBorders>
                    <w:top w:val="nil"/>
                    <w:left w:val="single" w:sz="8" w:space="0" w:color="000000"/>
                    <w:bottom w:val="nil"/>
                    <w:right w:val="single" w:sz="8" w:space="0" w:color="000000"/>
                  </w:tcBorders>
                  <w:noWrap/>
                  <w:tcMar>
                    <w:top w:w="15" w:type="dxa"/>
                    <w:left w:w="15" w:type="dxa"/>
                    <w:bottom w:w="15" w:type="dxa"/>
                    <w:right w:w="15" w:type="dxa"/>
                  </w:tcMar>
                  <w:vAlign w:val="center"/>
                  <w:hideMark/>
                </w:tcPr>
                <w:p w:rsidR="002C347E" w:rsidRDefault="006848E8">
                  <w:pPr>
                    <w:spacing w:line="240" w:lineRule="auto"/>
                    <w:jc w:val="center"/>
                  </w:pPr>
                  <w:r>
                    <w:t>Pupil Premium</w:t>
                  </w:r>
                </w:p>
              </w:tc>
              <w:tc>
                <w:tcPr>
                  <w:tcW w:w="1044" w:type="dxa"/>
                  <w:tcBorders>
                    <w:top w:val="nil"/>
                    <w:left w:val="nil"/>
                    <w:bottom w:val="nil"/>
                    <w:right w:val="single" w:sz="8" w:space="0" w:color="000000"/>
                  </w:tcBorders>
                  <w:noWrap/>
                  <w:tcMar>
                    <w:top w:w="15" w:type="dxa"/>
                    <w:left w:w="15" w:type="dxa"/>
                    <w:bottom w:w="15" w:type="dxa"/>
                    <w:right w:w="30" w:type="dxa"/>
                  </w:tcMar>
                  <w:vAlign w:val="center"/>
                  <w:hideMark/>
                </w:tcPr>
                <w:p w:rsidR="002C347E" w:rsidRDefault="006848E8">
                  <w:pPr>
                    <w:spacing w:line="240" w:lineRule="auto"/>
                    <w:jc w:val="center"/>
                  </w:pPr>
                  <w:r>
                    <w:t>68</w:t>
                  </w:r>
                </w:p>
              </w:tc>
              <w:tc>
                <w:tcPr>
                  <w:tcW w:w="1568" w:type="dxa"/>
                  <w:tcBorders>
                    <w:top w:val="nil"/>
                    <w:left w:val="nil"/>
                    <w:bottom w:val="nil"/>
                    <w:right w:val="single" w:sz="8" w:space="0" w:color="000000"/>
                  </w:tcBorders>
                  <w:noWrap/>
                  <w:tcMar>
                    <w:top w:w="15" w:type="dxa"/>
                    <w:left w:w="15" w:type="dxa"/>
                    <w:bottom w:w="15" w:type="dxa"/>
                    <w:right w:w="30" w:type="dxa"/>
                  </w:tcMar>
                  <w:vAlign w:val="center"/>
                  <w:hideMark/>
                </w:tcPr>
                <w:p w:rsidR="002C347E" w:rsidRDefault="006848E8">
                  <w:pPr>
                    <w:spacing w:line="240" w:lineRule="auto"/>
                    <w:jc w:val="center"/>
                  </w:pPr>
                  <w:r>
                    <w:t>88.62</w:t>
                  </w:r>
                </w:p>
              </w:tc>
              <w:tc>
                <w:tcPr>
                  <w:tcW w:w="2028" w:type="dxa"/>
                  <w:tcBorders>
                    <w:top w:val="nil"/>
                    <w:left w:val="nil"/>
                    <w:bottom w:val="nil"/>
                    <w:right w:val="single" w:sz="8" w:space="0" w:color="000000"/>
                  </w:tcBorders>
                  <w:tcMar>
                    <w:top w:w="15" w:type="dxa"/>
                    <w:left w:w="15" w:type="dxa"/>
                    <w:bottom w:w="15" w:type="dxa"/>
                    <w:right w:w="15" w:type="dxa"/>
                  </w:tcMar>
                  <w:vAlign w:val="center"/>
                  <w:hideMark/>
                </w:tcPr>
                <w:p w:rsidR="002C347E" w:rsidRDefault="006848E8">
                  <w:pPr>
                    <w:spacing w:line="240" w:lineRule="auto"/>
                    <w:jc w:val="center"/>
                  </w:pPr>
                  <w:r>
                    <w:t>86.69</w:t>
                  </w:r>
                </w:p>
              </w:tc>
              <w:tc>
                <w:tcPr>
                  <w:tcW w:w="1208" w:type="dxa"/>
                  <w:tcBorders>
                    <w:top w:val="nil"/>
                    <w:left w:val="nil"/>
                    <w:bottom w:val="nil"/>
                    <w:right w:val="single" w:sz="8" w:space="0" w:color="000000"/>
                  </w:tcBorders>
                  <w:shd w:val="clear" w:color="auto" w:fill="92D050"/>
                  <w:tcMar>
                    <w:top w:w="15" w:type="dxa"/>
                    <w:left w:w="15" w:type="dxa"/>
                    <w:bottom w:w="15" w:type="dxa"/>
                    <w:right w:w="15" w:type="dxa"/>
                  </w:tcMar>
                  <w:vAlign w:val="center"/>
                  <w:hideMark/>
                </w:tcPr>
                <w:p w:rsidR="002C347E" w:rsidRDefault="006848E8">
                  <w:pPr>
                    <w:spacing w:line="240" w:lineRule="auto"/>
                    <w:jc w:val="center"/>
                  </w:pPr>
                  <w:r>
                    <w:rPr>
                      <w:shd w:val="clear" w:color="auto" w:fill="92D050"/>
                    </w:rPr>
                    <w:t>+1.93</w:t>
                  </w:r>
                  <w:r>
                    <w:t>%</w:t>
                  </w:r>
                </w:p>
              </w:tc>
            </w:tr>
            <w:tr w:rsidR="002C347E" w:rsidTr="004835FF">
              <w:trPr>
                <w:trHeight w:val="202"/>
                <w:jc w:val="center"/>
              </w:trPr>
              <w:tc>
                <w:tcPr>
                  <w:tcW w:w="1605" w:type="dxa"/>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vAlign w:val="center"/>
                  <w:hideMark/>
                </w:tcPr>
                <w:p w:rsidR="002C347E" w:rsidRDefault="004835FF">
                  <w:pPr>
                    <w:spacing w:line="240" w:lineRule="auto"/>
                    <w:jc w:val="center"/>
                  </w:pPr>
                  <w:r>
                    <w:t>N</w:t>
                  </w:r>
                  <w:r w:rsidR="006848E8">
                    <w:t xml:space="preserve"> Pupil Premium</w:t>
                  </w:r>
                </w:p>
              </w:tc>
              <w:tc>
                <w:tcPr>
                  <w:tcW w:w="1044" w:type="dxa"/>
                  <w:tcBorders>
                    <w:top w:val="single" w:sz="8" w:space="0" w:color="000000"/>
                    <w:left w:val="nil"/>
                    <w:bottom w:val="single" w:sz="8" w:space="0" w:color="000000"/>
                    <w:right w:val="single" w:sz="8" w:space="0" w:color="000000"/>
                  </w:tcBorders>
                  <w:noWrap/>
                  <w:tcMar>
                    <w:top w:w="15" w:type="dxa"/>
                    <w:left w:w="15" w:type="dxa"/>
                    <w:bottom w:w="15" w:type="dxa"/>
                    <w:right w:w="30" w:type="dxa"/>
                  </w:tcMar>
                  <w:vAlign w:val="center"/>
                  <w:hideMark/>
                </w:tcPr>
                <w:p w:rsidR="002C347E" w:rsidRDefault="006848E8">
                  <w:pPr>
                    <w:spacing w:line="240" w:lineRule="auto"/>
                    <w:jc w:val="center"/>
                  </w:pPr>
                  <w:r>
                    <w:t>63</w:t>
                  </w:r>
                </w:p>
              </w:tc>
              <w:tc>
                <w:tcPr>
                  <w:tcW w:w="1568" w:type="dxa"/>
                  <w:tcBorders>
                    <w:top w:val="single" w:sz="8" w:space="0" w:color="000000"/>
                    <w:left w:val="nil"/>
                    <w:bottom w:val="single" w:sz="8" w:space="0" w:color="000000"/>
                    <w:right w:val="single" w:sz="8" w:space="0" w:color="000000"/>
                  </w:tcBorders>
                  <w:noWrap/>
                  <w:tcMar>
                    <w:top w:w="15" w:type="dxa"/>
                    <w:left w:w="15" w:type="dxa"/>
                    <w:bottom w:w="15" w:type="dxa"/>
                    <w:right w:w="30" w:type="dxa"/>
                  </w:tcMar>
                  <w:vAlign w:val="center"/>
                  <w:hideMark/>
                </w:tcPr>
                <w:p w:rsidR="002C347E" w:rsidRDefault="006848E8">
                  <w:pPr>
                    <w:spacing w:line="240" w:lineRule="auto"/>
                    <w:jc w:val="center"/>
                  </w:pPr>
                  <w:r>
                    <w:t>95.37</w:t>
                  </w:r>
                </w:p>
              </w:tc>
              <w:tc>
                <w:tcPr>
                  <w:tcW w:w="2028"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2C347E" w:rsidRDefault="006848E8">
                  <w:pPr>
                    <w:spacing w:line="240" w:lineRule="auto"/>
                    <w:jc w:val="center"/>
                  </w:pPr>
                  <w:r>
                    <w:t>94.36</w:t>
                  </w:r>
                </w:p>
              </w:tc>
              <w:tc>
                <w:tcPr>
                  <w:tcW w:w="1208"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2C347E" w:rsidRDefault="006848E8">
                  <w:pPr>
                    <w:spacing w:line="240" w:lineRule="auto"/>
                    <w:jc w:val="center"/>
                  </w:pPr>
                  <w:r>
                    <w:t>+1.01%</w:t>
                  </w:r>
                </w:p>
              </w:tc>
            </w:tr>
          </w:tbl>
          <w:p w:rsidR="002C347E" w:rsidRDefault="002C347E">
            <w:pPr>
              <w:spacing w:after="0" w:line="240" w:lineRule="auto"/>
              <w:rPr>
                <w:rFonts w:eastAsia="Times New Roman" w:cs="Arial"/>
                <w:color w:val="000000"/>
              </w:rPr>
            </w:pPr>
          </w:p>
          <w:p w:rsidR="002C347E" w:rsidRPr="006B2CF0" w:rsidRDefault="00BE3329" w:rsidP="006B2CF0">
            <w:pPr>
              <w:rPr>
                <w:rFonts w:eastAsiaTheme="minorHAnsi"/>
              </w:rPr>
            </w:pPr>
            <w:r>
              <w:t xml:space="preserve">Progress 8 </w:t>
            </w:r>
            <w:r w:rsidR="006B2CF0">
              <w:t>differences between PP and non-PP learners down the Academy.</w:t>
            </w:r>
          </w:p>
          <w:tbl>
            <w:tblPr>
              <w:tblW w:w="7465" w:type="dxa"/>
              <w:tblLook w:val="04A0" w:firstRow="1" w:lastRow="0" w:firstColumn="1" w:lastColumn="0" w:noHBand="0" w:noVBand="1"/>
            </w:tblPr>
            <w:tblGrid>
              <w:gridCol w:w="4376"/>
              <w:gridCol w:w="3089"/>
            </w:tblGrid>
            <w:tr w:rsidR="006B2CF0" w:rsidRPr="004835FF" w:rsidTr="006B2CF0">
              <w:trPr>
                <w:trHeight w:val="309"/>
              </w:trPr>
              <w:tc>
                <w:tcPr>
                  <w:tcW w:w="4376"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6B2CF0" w:rsidRPr="006B2CF0" w:rsidRDefault="006B2CF0" w:rsidP="004835FF">
                  <w:pPr>
                    <w:spacing w:after="0" w:line="240" w:lineRule="auto"/>
                    <w:jc w:val="center"/>
                    <w:rPr>
                      <w:rFonts w:ascii="Calibri" w:eastAsia="Times New Roman" w:hAnsi="Calibri"/>
                      <w:b/>
                      <w:color w:val="000000"/>
                    </w:rPr>
                  </w:pPr>
                  <w:r w:rsidRPr="006B2CF0">
                    <w:rPr>
                      <w:rFonts w:ascii="Calibri" w:eastAsia="Times New Roman" w:hAnsi="Calibri"/>
                      <w:b/>
                      <w:color w:val="000000"/>
                    </w:rPr>
                    <w:t>Year Group</w:t>
                  </w:r>
                </w:p>
              </w:tc>
              <w:tc>
                <w:tcPr>
                  <w:tcW w:w="3089"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6B2CF0" w:rsidRPr="006B2CF0" w:rsidRDefault="006B2CF0" w:rsidP="004835FF">
                  <w:pPr>
                    <w:spacing w:after="0" w:line="240" w:lineRule="auto"/>
                    <w:jc w:val="center"/>
                    <w:rPr>
                      <w:rFonts w:ascii="Calibri" w:eastAsia="Times New Roman" w:hAnsi="Calibri"/>
                      <w:b/>
                      <w:color w:val="000000"/>
                    </w:rPr>
                  </w:pPr>
                  <w:r w:rsidRPr="006B2CF0">
                    <w:rPr>
                      <w:rFonts w:ascii="Calibri" w:eastAsia="Times New Roman" w:hAnsi="Calibri"/>
                      <w:b/>
                      <w:color w:val="000000"/>
                    </w:rPr>
                    <w:t>Average Progress 8</w:t>
                  </w:r>
                </w:p>
              </w:tc>
            </w:tr>
            <w:tr w:rsidR="004835FF" w:rsidRPr="004835FF" w:rsidTr="001C3FA6">
              <w:trPr>
                <w:trHeight w:val="309"/>
              </w:trPr>
              <w:tc>
                <w:tcPr>
                  <w:tcW w:w="43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35FF" w:rsidRPr="004835FF" w:rsidRDefault="004835FF" w:rsidP="004835FF">
                  <w:pPr>
                    <w:spacing w:after="0" w:line="240" w:lineRule="auto"/>
                    <w:jc w:val="center"/>
                    <w:rPr>
                      <w:rFonts w:ascii="Calibri" w:eastAsia="Times New Roman" w:hAnsi="Calibri"/>
                      <w:color w:val="000000"/>
                    </w:rPr>
                  </w:pPr>
                  <w:r w:rsidRPr="004835FF">
                    <w:rPr>
                      <w:rFonts w:ascii="Calibri" w:eastAsia="Times New Roman" w:hAnsi="Calibri"/>
                      <w:color w:val="000000"/>
                    </w:rPr>
                    <w:t>10 PP</w:t>
                  </w:r>
                </w:p>
              </w:tc>
              <w:tc>
                <w:tcPr>
                  <w:tcW w:w="3089" w:type="dxa"/>
                  <w:tcBorders>
                    <w:top w:val="single" w:sz="8" w:space="0" w:color="auto"/>
                    <w:left w:val="nil"/>
                    <w:bottom w:val="single" w:sz="8" w:space="0" w:color="auto"/>
                    <w:right w:val="single" w:sz="8" w:space="0" w:color="auto"/>
                  </w:tcBorders>
                  <w:shd w:val="clear" w:color="auto" w:fill="auto"/>
                  <w:vAlign w:val="center"/>
                  <w:hideMark/>
                </w:tcPr>
                <w:p w:rsidR="004835FF" w:rsidRPr="004835FF" w:rsidRDefault="004835FF" w:rsidP="004835FF">
                  <w:pPr>
                    <w:spacing w:after="0" w:line="240" w:lineRule="auto"/>
                    <w:jc w:val="center"/>
                    <w:rPr>
                      <w:rFonts w:ascii="Calibri" w:eastAsia="Times New Roman" w:hAnsi="Calibri"/>
                      <w:color w:val="000000"/>
                    </w:rPr>
                  </w:pPr>
                  <w:r w:rsidRPr="004835FF">
                    <w:rPr>
                      <w:rFonts w:ascii="Calibri" w:eastAsia="Times New Roman" w:hAnsi="Calibri"/>
                      <w:color w:val="000000"/>
                    </w:rPr>
                    <w:t>-1.29</w:t>
                  </w:r>
                </w:p>
              </w:tc>
            </w:tr>
            <w:tr w:rsidR="004835FF" w:rsidRPr="004835FF" w:rsidTr="001C3FA6">
              <w:trPr>
                <w:trHeight w:val="309"/>
              </w:trPr>
              <w:tc>
                <w:tcPr>
                  <w:tcW w:w="4376" w:type="dxa"/>
                  <w:tcBorders>
                    <w:top w:val="nil"/>
                    <w:left w:val="single" w:sz="8" w:space="0" w:color="auto"/>
                    <w:bottom w:val="single" w:sz="8" w:space="0" w:color="auto"/>
                    <w:right w:val="single" w:sz="8" w:space="0" w:color="auto"/>
                  </w:tcBorders>
                  <w:shd w:val="clear" w:color="auto" w:fill="auto"/>
                  <w:vAlign w:val="center"/>
                  <w:hideMark/>
                </w:tcPr>
                <w:p w:rsidR="004835FF" w:rsidRPr="004835FF" w:rsidRDefault="004835FF" w:rsidP="004835FF">
                  <w:pPr>
                    <w:spacing w:after="0" w:line="240" w:lineRule="auto"/>
                    <w:jc w:val="center"/>
                    <w:rPr>
                      <w:rFonts w:ascii="Calibri" w:eastAsia="Times New Roman" w:hAnsi="Calibri"/>
                      <w:color w:val="000000"/>
                    </w:rPr>
                  </w:pPr>
                  <w:r w:rsidRPr="004835FF">
                    <w:rPr>
                      <w:rFonts w:ascii="Calibri" w:eastAsia="Times New Roman" w:hAnsi="Calibri"/>
                      <w:color w:val="000000"/>
                    </w:rPr>
                    <w:t>10 non-PP</w:t>
                  </w:r>
                </w:p>
              </w:tc>
              <w:tc>
                <w:tcPr>
                  <w:tcW w:w="3089" w:type="dxa"/>
                  <w:tcBorders>
                    <w:top w:val="nil"/>
                    <w:left w:val="nil"/>
                    <w:bottom w:val="single" w:sz="8" w:space="0" w:color="auto"/>
                    <w:right w:val="single" w:sz="8" w:space="0" w:color="auto"/>
                  </w:tcBorders>
                  <w:shd w:val="clear" w:color="auto" w:fill="auto"/>
                  <w:vAlign w:val="center"/>
                  <w:hideMark/>
                </w:tcPr>
                <w:p w:rsidR="004835FF" w:rsidRPr="004835FF" w:rsidRDefault="004835FF" w:rsidP="004835FF">
                  <w:pPr>
                    <w:spacing w:after="0" w:line="240" w:lineRule="auto"/>
                    <w:jc w:val="center"/>
                    <w:rPr>
                      <w:rFonts w:ascii="Calibri" w:eastAsia="Times New Roman" w:hAnsi="Calibri"/>
                      <w:color w:val="000000"/>
                    </w:rPr>
                  </w:pPr>
                  <w:r w:rsidRPr="004835FF">
                    <w:rPr>
                      <w:rFonts w:ascii="Calibri" w:eastAsia="Times New Roman" w:hAnsi="Calibri"/>
                      <w:color w:val="000000"/>
                    </w:rPr>
                    <w:t>-0.73</w:t>
                  </w:r>
                </w:p>
              </w:tc>
            </w:tr>
            <w:tr w:rsidR="004835FF" w:rsidRPr="004835FF" w:rsidTr="001C3FA6">
              <w:trPr>
                <w:trHeight w:val="309"/>
              </w:trPr>
              <w:tc>
                <w:tcPr>
                  <w:tcW w:w="437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4835FF" w:rsidRPr="004835FF" w:rsidRDefault="004835FF" w:rsidP="004835FF">
                  <w:pPr>
                    <w:spacing w:after="0" w:line="240" w:lineRule="auto"/>
                    <w:jc w:val="center"/>
                    <w:rPr>
                      <w:rFonts w:ascii="Calibri" w:eastAsia="Times New Roman" w:hAnsi="Calibri"/>
                      <w:color w:val="000000"/>
                    </w:rPr>
                  </w:pPr>
                  <w:r w:rsidRPr="004835FF">
                    <w:rPr>
                      <w:rFonts w:ascii="Calibri" w:eastAsia="Times New Roman" w:hAnsi="Calibri"/>
                      <w:color w:val="000000"/>
                    </w:rPr>
                    <w:t>Difference</w:t>
                  </w:r>
                </w:p>
              </w:tc>
              <w:tc>
                <w:tcPr>
                  <w:tcW w:w="3089" w:type="dxa"/>
                  <w:tcBorders>
                    <w:top w:val="nil"/>
                    <w:left w:val="nil"/>
                    <w:bottom w:val="single" w:sz="8" w:space="0" w:color="auto"/>
                    <w:right w:val="single" w:sz="8" w:space="0" w:color="auto"/>
                  </w:tcBorders>
                  <w:shd w:val="clear" w:color="auto" w:fill="BFBFBF" w:themeFill="background1" w:themeFillShade="BF"/>
                  <w:vAlign w:val="center"/>
                  <w:hideMark/>
                </w:tcPr>
                <w:p w:rsidR="004835FF" w:rsidRPr="004835FF" w:rsidRDefault="004835FF" w:rsidP="004835FF">
                  <w:pPr>
                    <w:spacing w:after="0" w:line="240" w:lineRule="auto"/>
                    <w:jc w:val="center"/>
                    <w:rPr>
                      <w:rFonts w:ascii="Calibri" w:eastAsia="Times New Roman" w:hAnsi="Calibri"/>
                      <w:b/>
                      <w:bCs/>
                      <w:color w:val="000000"/>
                    </w:rPr>
                  </w:pPr>
                  <w:r w:rsidRPr="004835FF">
                    <w:rPr>
                      <w:rFonts w:ascii="Calibri" w:eastAsia="Times New Roman" w:hAnsi="Calibri"/>
                      <w:b/>
                      <w:bCs/>
                      <w:color w:val="000000"/>
                    </w:rPr>
                    <w:t>-0.56</w:t>
                  </w:r>
                </w:p>
              </w:tc>
            </w:tr>
            <w:tr w:rsidR="004835FF" w:rsidRPr="004835FF" w:rsidTr="001C3FA6">
              <w:trPr>
                <w:trHeight w:val="309"/>
              </w:trPr>
              <w:tc>
                <w:tcPr>
                  <w:tcW w:w="4376" w:type="dxa"/>
                  <w:tcBorders>
                    <w:top w:val="nil"/>
                    <w:left w:val="single" w:sz="8" w:space="0" w:color="auto"/>
                    <w:bottom w:val="single" w:sz="8" w:space="0" w:color="auto"/>
                    <w:right w:val="single" w:sz="8" w:space="0" w:color="auto"/>
                  </w:tcBorders>
                  <w:shd w:val="clear" w:color="auto" w:fill="auto"/>
                  <w:vAlign w:val="center"/>
                  <w:hideMark/>
                </w:tcPr>
                <w:p w:rsidR="004835FF" w:rsidRPr="004835FF" w:rsidRDefault="004835FF" w:rsidP="004835FF">
                  <w:pPr>
                    <w:spacing w:after="0" w:line="240" w:lineRule="auto"/>
                    <w:jc w:val="center"/>
                    <w:rPr>
                      <w:rFonts w:ascii="Calibri" w:eastAsia="Times New Roman" w:hAnsi="Calibri"/>
                      <w:color w:val="000000"/>
                    </w:rPr>
                  </w:pPr>
                  <w:r w:rsidRPr="004835FF">
                    <w:rPr>
                      <w:rFonts w:ascii="Calibri" w:eastAsia="Times New Roman" w:hAnsi="Calibri"/>
                      <w:color w:val="000000"/>
                    </w:rPr>
                    <w:t>9 PP</w:t>
                  </w:r>
                </w:p>
              </w:tc>
              <w:tc>
                <w:tcPr>
                  <w:tcW w:w="3089" w:type="dxa"/>
                  <w:tcBorders>
                    <w:top w:val="nil"/>
                    <w:left w:val="nil"/>
                    <w:bottom w:val="single" w:sz="8" w:space="0" w:color="auto"/>
                    <w:right w:val="single" w:sz="8" w:space="0" w:color="auto"/>
                  </w:tcBorders>
                  <w:shd w:val="clear" w:color="auto" w:fill="auto"/>
                  <w:vAlign w:val="center"/>
                  <w:hideMark/>
                </w:tcPr>
                <w:p w:rsidR="004835FF" w:rsidRPr="004835FF" w:rsidRDefault="004835FF" w:rsidP="004835FF">
                  <w:pPr>
                    <w:spacing w:after="0" w:line="240" w:lineRule="auto"/>
                    <w:jc w:val="center"/>
                    <w:rPr>
                      <w:rFonts w:ascii="Calibri" w:eastAsia="Times New Roman" w:hAnsi="Calibri"/>
                      <w:color w:val="000000"/>
                    </w:rPr>
                  </w:pPr>
                  <w:r w:rsidRPr="004835FF">
                    <w:rPr>
                      <w:rFonts w:ascii="Calibri" w:eastAsia="Times New Roman" w:hAnsi="Calibri"/>
                      <w:color w:val="000000"/>
                    </w:rPr>
                    <w:t>-0.4</w:t>
                  </w:r>
                </w:p>
              </w:tc>
            </w:tr>
            <w:tr w:rsidR="004835FF" w:rsidRPr="004835FF" w:rsidTr="001C3FA6">
              <w:trPr>
                <w:trHeight w:val="309"/>
              </w:trPr>
              <w:tc>
                <w:tcPr>
                  <w:tcW w:w="4376" w:type="dxa"/>
                  <w:tcBorders>
                    <w:top w:val="nil"/>
                    <w:left w:val="single" w:sz="8" w:space="0" w:color="auto"/>
                    <w:bottom w:val="single" w:sz="8" w:space="0" w:color="auto"/>
                    <w:right w:val="single" w:sz="8" w:space="0" w:color="auto"/>
                  </w:tcBorders>
                  <w:shd w:val="clear" w:color="auto" w:fill="auto"/>
                  <w:vAlign w:val="center"/>
                  <w:hideMark/>
                </w:tcPr>
                <w:p w:rsidR="004835FF" w:rsidRPr="004835FF" w:rsidRDefault="004835FF" w:rsidP="004835FF">
                  <w:pPr>
                    <w:spacing w:after="0" w:line="240" w:lineRule="auto"/>
                    <w:jc w:val="center"/>
                    <w:rPr>
                      <w:rFonts w:ascii="Calibri" w:eastAsia="Times New Roman" w:hAnsi="Calibri"/>
                      <w:color w:val="000000"/>
                    </w:rPr>
                  </w:pPr>
                  <w:r w:rsidRPr="004835FF">
                    <w:rPr>
                      <w:rFonts w:ascii="Calibri" w:eastAsia="Times New Roman" w:hAnsi="Calibri"/>
                      <w:color w:val="000000"/>
                    </w:rPr>
                    <w:t>9 non-PP</w:t>
                  </w:r>
                </w:p>
              </w:tc>
              <w:tc>
                <w:tcPr>
                  <w:tcW w:w="3089" w:type="dxa"/>
                  <w:tcBorders>
                    <w:top w:val="nil"/>
                    <w:left w:val="nil"/>
                    <w:bottom w:val="single" w:sz="8" w:space="0" w:color="auto"/>
                    <w:right w:val="single" w:sz="8" w:space="0" w:color="auto"/>
                  </w:tcBorders>
                  <w:shd w:val="clear" w:color="auto" w:fill="auto"/>
                  <w:vAlign w:val="center"/>
                  <w:hideMark/>
                </w:tcPr>
                <w:p w:rsidR="004835FF" w:rsidRPr="004835FF" w:rsidRDefault="004835FF" w:rsidP="004835FF">
                  <w:pPr>
                    <w:spacing w:after="0" w:line="240" w:lineRule="auto"/>
                    <w:jc w:val="center"/>
                    <w:rPr>
                      <w:rFonts w:ascii="Calibri" w:eastAsia="Times New Roman" w:hAnsi="Calibri"/>
                      <w:color w:val="000000"/>
                    </w:rPr>
                  </w:pPr>
                  <w:r w:rsidRPr="004835FF">
                    <w:rPr>
                      <w:rFonts w:ascii="Calibri" w:eastAsia="Times New Roman" w:hAnsi="Calibri"/>
                      <w:color w:val="000000"/>
                    </w:rPr>
                    <w:t>-0.14</w:t>
                  </w:r>
                </w:p>
              </w:tc>
            </w:tr>
            <w:tr w:rsidR="004835FF" w:rsidRPr="004835FF" w:rsidTr="001C3FA6">
              <w:trPr>
                <w:trHeight w:val="309"/>
              </w:trPr>
              <w:tc>
                <w:tcPr>
                  <w:tcW w:w="437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4835FF" w:rsidRPr="004835FF" w:rsidRDefault="004835FF" w:rsidP="004835FF">
                  <w:pPr>
                    <w:spacing w:after="0" w:line="240" w:lineRule="auto"/>
                    <w:jc w:val="center"/>
                    <w:rPr>
                      <w:rFonts w:ascii="Calibri" w:eastAsia="Times New Roman" w:hAnsi="Calibri"/>
                      <w:color w:val="000000"/>
                    </w:rPr>
                  </w:pPr>
                  <w:r w:rsidRPr="004835FF">
                    <w:rPr>
                      <w:rFonts w:ascii="Calibri" w:eastAsia="Times New Roman" w:hAnsi="Calibri"/>
                      <w:color w:val="000000"/>
                    </w:rPr>
                    <w:t>Difference</w:t>
                  </w:r>
                </w:p>
              </w:tc>
              <w:tc>
                <w:tcPr>
                  <w:tcW w:w="3089" w:type="dxa"/>
                  <w:tcBorders>
                    <w:top w:val="nil"/>
                    <w:left w:val="nil"/>
                    <w:bottom w:val="single" w:sz="8" w:space="0" w:color="auto"/>
                    <w:right w:val="single" w:sz="8" w:space="0" w:color="auto"/>
                  </w:tcBorders>
                  <w:shd w:val="clear" w:color="auto" w:fill="BFBFBF" w:themeFill="background1" w:themeFillShade="BF"/>
                  <w:vAlign w:val="center"/>
                  <w:hideMark/>
                </w:tcPr>
                <w:p w:rsidR="004835FF" w:rsidRPr="004835FF" w:rsidRDefault="004835FF" w:rsidP="004835FF">
                  <w:pPr>
                    <w:spacing w:after="0" w:line="240" w:lineRule="auto"/>
                    <w:jc w:val="center"/>
                    <w:rPr>
                      <w:rFonts w:ascii="Calibri" w:eastAsia="Times New Roman" w:hAnsi="Calibri"/>
                      <w:b/>
                      <w:bCs/>
                      <w:color w:val="000000"/>
                    </w:rPr>
                  </w:pPr>
                  <w:r w:rsidRPr="004835FF">
                    <w:rPr>
                      <w:rFonts w:ascii="Calibri" w:eastAsia="Times New Roman" w:hAnsi="Calibri"/>
                      <w:b/>
                      <w:bCs/>
                      <w:color w:val="000000"/>
                    </w:rPr>
                    <w:t>-0.36</w:t>
                  </w:r>
                </w:p>
              </w:tc>
            </w:tr>
            <w:tr w:rsidR="004835FF" w:rsidRPr="004835FF" w:rsidTr="001C3FA6">
              <w:trPr>
                <w:trHeight w:val="309"/>
              </w:trPr>
              <w:tc>
                <w:tcPr>
                  <w:tcW w:w="4376" w:type="dxa"/>
                  <w:tcBorders>
                    <w:top w:val="nil"/>
                    <w:left w:val="single" w:sz="8" w:space="0" w:color="auto"/>
                    <w:bottom w:val="single" w:sz="8" w:space="0" w:color="auto"/>
                    <w:right w:val="single" w:sz="8" w:space="0" w:color="auto"/>
                  </w:tcBorders>
                  <w:shd w:val="clear" w:color="auto" w:fill="auto"/>
                  <w:vAlign w:val="center"/>
                  <w:hideMark/>
                </w:tcPr>
                <w:p w:rsidR="004835FF" w:rsidRPr="004835FF" w:rsidRDefault="004835FF" w:rsidP="004835FF">
                  <w:pPr>
                    <w:spacing w:after="0" w:line="240" w:lineRule="auto"/>
                    <w:jc w:val="center"/>
                    <w:rPr>
                      <w:rFonts w:ascii="Calibri" w:eastAsia="Times New Roman" w:hAnsi="Calibri"/>
                      <w:color w:val="000000"/>
                    </w:rPr>
                  </w:pPr>
                  <w:r w:rsidRPr="004835FF">
                    <w:rPr>
                      <w:rFonts w:ascii="Calibri" w:eastAsia="Times New Roman" w:hAnsi="Calibri"/>
                      <w:color w:val="000000"/>
                    </w:rPr>
                    <w:t>8 PP</w:t>
                  </w:r>
                </w:p>
              </w:tc>
              <w:tc>
                <w:tcPr>
                  <w:tcW w:w="3089" w:type="dxa"/>
                  <w:tcBorders>
                    <w:top w:val="nil"/>
                    <w:left w:val="nil"/>
                    <w:bottom w:val="single" w:sz="8" w:space="0" w:color="auto"/>
                    <w:right w:val="single" w:sz="8" w:space="0" w:color="auto"/>
                  </w:tcBorders>
                  <w:shd w:val="clear" w:color="auto" w:fill="auto"/>
                  <w:vAlign w:val="center"/>
                  <w:hideMark/>
                </w:tcPr>
                <w:p w:rsidR="004835FF" w:rsidRPr="004835FF" w:rsidRDefault="004835FF" w:rsidP="004835FF">
                  <w:pPr>
                    <w:spacing w:after="0" w:line="240" w:lineRule="auto"/>
                    <w:jc w:val="center"/>
                    <w:rPr>
                      <w:rFonts w:ascii="Calibri" w:eastAsia="Times New Roman" w:hAnsi="Calibri"/>
                      <w:color w:val="000000"/>
                    </w:rPr>
                  </w:pPr>
                  <w:r w:rsidRPr="004835FF">
                    <w:rPr>
                      <w:rFonts w:ascii="Calibri" w:eastAsia="Times New Roman" w:hAnsi="Calibri"/>
                      <w:color w:val="000000"/>
                    </w:rPr>
                    <w:t>-0.42</w:t>
                  </w:r>
                </w:p>
              </w:tc>
            </w:tr>
            <w:tr w:rsidR="004835FF" w:rsidRPr="004835FF" w:rsidTr="001C3FA6">
              <w:trPr>
                <w:trHeight w:val="309"/>
              </w:trPr>
              <w:tc>
                <w:tcPr>
                  <w:tcW w:w="4376" w:type="dxa"/>
                  <w:tcBorders>
                    <w:top w:val="nil"/>
                    <w:left w:val="single" w:sz="8" w:space="0" w:color="auto"/>
                    <w:bottom w:val="single" w:sz="8" w:space="0" w:color="auto"/>
                    <w:right w:val="single" w:sz="8" w:space="0" w:color="auto"/>
                  </w:tcBorders>
                  <w:shd w:val="clear" w:color="auto" w:fill="auto"/>
                  <w:vAlign w:val="center"/>
                  <w:hideMark/>
                </w:tcPr>
                <w:p w:rsidR="004835FF" w:rsidRPr="004835FF" w:rsidRDefault="004835FF" w:rsidP="004835FF">
                  <w:pPr>
                    <w:spacing w:after="0" w:line="240" w:lineRule="auto"/>
                    <w:jc w:val="center"/>
                    <w:rPr>
                      <w:rFonts w:ascii="Calibri" w:eastAsia="Times New Roman" w:hAnsi="Calibri"/>
                      <w:color w:val="000000"/>
                    </w:rPr>
                  </w:pPr>
                  <w:r w:rsidRPr="004835FF">
                    <w:rPr>
                      <w:rFonts w:ascii="Calibri" w:eastAsia="Times New Roman" w:hAnsi="Calibri"/>
                      <w:color w:val="000000"/>
                    </w:rPr>
                    <w:t>8 non-PP</w:t>
                  </w:r>
                </w:p>
              </w:tc>
              <w:tc>
                <w:tcPr>
                  <w:tcW w:w="3089" w:type="dxa"/>
                  <w:tcBorders>
                    <w:top w:val="nil"/>
                    <w:left w:val="nil"/>
                    <w:bottom w:val="single" w:sz="8" w:space="0" w:color="auto"/>
                    <w:right w:val="single" w:sz="8" w:space="0" w:color="auto"/>
                  </w:tcBorders>
                  <w:shd w:val="clear" w:color="auto" w:fill="auto"/>
                  <w:vAlign w:val="center"/>
                  <w:hideMark/>
                </w:tcPr>
                <w:p w:rsidR="004835FF" w:rsidRPr="004835FF" w:rsidRDefault="004835FF" w:rsidP="004835FF">
                  <w:pPr>
                    <w:spacing w:after="0" w:line="240" w:lineRule="auto"/>
                    <w:jc w:val="center"/>
                    <w:rPr>
                      <w:rFonts w:ascii="Calibri" w:eastAsia="Times New Roman" w:hAnsi="Calibri"/>
                      <w:color w:val="000000"/>
                    </w:rPr>
                  </w:pPr>
                  <w:r w:rsidRPr="004835FF">
                    <w:rPr>
                      <w:rFonts w:ascii="Calibri" w:eastAsia="Times New Roman" w:hAnsi="Calibri"/>
                      <w:color w:val="000000"/>
                    </w:rPr>
                    <w:t>-0.23</w:t>
                  </w:r>
                </w:p>
              </w:tc>
            </w:tr>
            <w:tr w:rsidR="004835FF" w:rsidRPr="004835FF" w:rsidTr="001C3FA6">
              <w:trPr>
                <w:trHeight w:val="309"/>
              </w:trPr>
              <w:tc>
                <w:tcPr>
                  <w:tcW w:w="437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4835FF" w:rsidRPr="004835FF" w:rsidRDefault="004835FF" w:rsidP="004835FF">
                  <w:pPr>
                    <w:spacing w:after="0" w:line="240" w:lineRule="auto"/>
                    <w:jc w:val="center"/>
                    <w:rPr>
                      <w:rFonts w:ascii="Calibri" w:eastAsia="Times New Roman" w:hAnsi="Calibri"/>
                      <w:color w:val="000000"/>
                    </w:rPr>
                  </w:pPr>
                  <w:r w:rsidRPr="004835FF">
                    <w:rPr>
                      <w:rFonts w:ascii="Calibri" w:eastAsia="Times New Roman" w:hAnsi="Calibri"/>
                      <w:color w:val="000000"/>
                    </w:rPr>
                    <w:t>Difference</w:t>
                  </w:r>
                </w:p>
              </w:tc>
              <w:tc>
                <w:tcPr>
                  <w:tcW w:w="3089" w:type="dxa"/>
                  <w:tcBorders>
                    <w:top w:val="nil"/>
                    <w:left w:val="nil"/>
                    <w:bottom w:val="single" w:sz="8" w:space="0" w:color="auto"/>
                    <w:right w:val="single" w:sz="8" w:space="0" w:color="auto"/>
                  </w:tcBorders>
                  <w:shd w:val="clear" w:color="auto" w:fill="BFBFBF" w:themeFill="background1" w:themeFillShade="BF"/>
                  <w:vAlign w:val="center"/>
                  <w:hideMark/>
                </w:tcPr>
                <w:p w:rsidR="004835FF" w:rsidRPr="004835FF" w:rsidRDefault="004835FF" w:rsidP="004835FF">
                  <w:pPr>
                    <w:spacing w:after="0" w:line="240" w:lineRule="auto"/>
                    <w:jc w:val="center"/>
                    <w:rPr>
                      <w:rFonts w:ascii="Calibri" w:eastAsia="Times New Roman" w:hAnsi="Calibri"/>
                      <w:b/>
                      <w:bCs/>
                      <w:color w:val="000000"/>
                    </w:rPr>
                  </w:pPr>
                  <w:r w:rsidRPr="004835FF">
                    <w:rPr>
                      <w:rFonts w:ascii="Calibri" w:eastAsia="Times New Roman" w:hAnsi="Calibri"/>
                      <w:b/>
                      <w:bCs/>
                      <w:color w:val="000000"/>
                    </w:rPr>
                    <w:t>-0.21</w:t>
                  </w:r>
                </w:p>
              </w:tc>
            </w:tr>
            <w:tr w:rsidR="004835FF" w:rsidRPr="004835FF" w:rsidTr="001C3FA6">
              <w:trPr>
                <w:trHeight w:val="309"/>
              </w:trPr>
              <w:tc>
                <w:tcPr>
                  <w:tcW w:w="4376" w:type="dxa"/>
                  <w:tcBorders>
                    <w:top w:val="nil"/>
                    <w:left w:val="single" w:sz="8" w:space="0" w:color="auto"/>
                    <w:bottom w:val="single" w:sz="8" w:space="0" w:color="auto"/>
                    <w:right w:val="single" w:sz="8" w:space="0" w:color="auto"/>
                  </w:tcBorders>
                  <w:shd w:val="clear" w:color="auto" w:fill="auto"/>
                  <w:vAlign w:val="center"/>
                  <w:hideMark/>
                </w:tcPr>
                <w:p w:rsidR="004835FF" w:rsidRPr="004835FF" w:rsidRDefault="004835FF" w:rsidP="004835FF">
                  <w:pPr>
                    <w:spacing w:after="0" w:line="240" w:lineRule="auto"/>
                    <w:jc w:val="center"/>
                    <w:rPr>
                      <w:rFonts w:ascii="Calibri" w:eastAsia="Times New Roman" w:hAnsi="Calibri"/>
                      <w:color w:val="000000"/>
                    </w:rPr>
                  </w:pPr>
                  <w:r w:rsidRPr="004835FF">
                    <w:rPr>
                      <w:rFonts w:ascii="Calibri" w:eastAsia="Times New Roman" w:hAnsi="Calibri"/>
                      <w:color w:val="000000"/>
                    </w:rPr>
                    <w:t>7 PP</w:t>
                  </w:r>
                </w:p>
              </w:tc>
              <w:tc>
                <w:tcPr>
                  <w:tcW w:w="3089" w:type="dxa"/>
                  <w:tcBorders>
                    <w:top w:val="nil"/>
                    <w:left w:val="nil"/>
                    <w:bottom w:val="single" w:sz="8" w:space="0" w:color="auto"/>
                    <w:right w:val="single" w:sz="8" w:space="0" w:color="auto"/>
                  </w:tcBorders>
                  <w:shd w:val="clear" w:color="auto" w:fill="auto"/>
                  <w:vAlign w:val="center"/>
                  <w:hideMark/>
                </w:tcPr>
                <w:p w:rsidR="004835FF" w:rsidRPr="004835FF" w:rsidRDefault="004835FF" w:rsidP="004835FF">
                  <w:pPr>
                    <w:spacing w:after="0" w:line="240" w:lineRule="auto"/>
                    <w:jc w:val="center"/>
                    <w:rPr>
                      <w:rFonts w:ascii="Calibri" w:eastAsia="Times New Roman" w:hAnsi="Calibri"/>
                      <w:color w:val="000000"/>
                    </w:rPr>
                  </w:pPr>
                  <w:r w:rsidRPr="004835FF">
                    <w:rPr>
                      <w:rFonts w:ascii="Calibri" w:eastAsia="Times New Roman" w:hAnsi="Calibri"/>
                      <w:color w:val="000000"/>
                    </w:rPr>
                    <w:t>-3.05</w:t>
                  </w:r>
                </w:p>
              </w:tc>
            </w:tr>
            <w:tr w:rsidR="004835FF" w:rsidRPr="004835FF" w:rsidTr="001C3FA6">
              <w:trPr>
                <w:trHeight w:val="309"/>
              </w:trPr>
              <w:tc>
                <w:tcPr>
                  <w:tcW w:w="4376" w:type="dxa"/>
                  <w:tcBorders>
                    <w:top w:val="nil"/>
                    <w:left w:val="single" w:sz="8" w:space="0" w:color="auto"/>
                    <w:bottom w:val="single" w:sz="8" w:space="0" w:color="auto"/>
                    <w:right w:val="single" w:sz="8" w:space="0" w:color="auto"/>
                  </w:tcBorders>
                  <w:shd w:val="clear" w:color="auto" w:fill="auto"/>
                  <w:vAlign w:val="center"/>
                  <w:hideMark/>
                </w:tcPr>
                <w:p w:rsidR="004835FF" w:rsidRPr="004835FF" w:rsidRDefault="004835FF" w:rsidP="004835FF">
                  <w:pPr>
                    <w:spacing w:after="0" w:line="240" w:lineRule="auto"/>
                    <w:jc w:val="center"/>
                    <w:rPr>
                      <w:rFonts w:ascii="Calibri" w:eastAsia="Times New Roman" w:hAnsi="Calibri"/>
                      <w:color w:val="000000"/>
                    </w:rPr>
                  </w:pPr>
                  <w:r w:rsidRPr="004835FF">
                    <w:rPr>
                      <w:rFonts w:ascii="Calibri" w:eastAsia="Times New Roman" w:hAnsi="Calibri"/>
                      <w:color w:val="000000"/>
                    </w:rPr>
                    <w:t>7 non-PP</w:t>
                  </w:r>
                </w:p>
              </w:tc>
              <w:tc>
                <w:tcPr>
                  <w:tcW w:w="3089" w:type="dxa"/>
                  <w:tcBorders>
                    <w:top w:val="nil"/>
                    <w:left w:val="nil"/>
                    <w:bottom w:val="single" w:sz="8" w:space="0" w:color="auto"/>
                    <w:right w:val="single" w:sz="8" w:space="0" w:color="auto"/>
                  </w:tcBorders>
                  <w:shd w:val="clear" w:color="auto" w:fill="auto"/>
                  <w:vAlign w:val="center"/>
                  <w:hideMark/>
                </w:tcPr>
                <w:p w:rsidR="004835FF" w:rsidRPr="004835FF" w:rsidRDefault="004835FF" w:rsidP="004835FF">
                  <w:pPr>
                    <w:spacing w:after="0" w:line="240" w:lineRule="auto"/>
                    <w:jc w:val="center"/>
                    <w:rPr>
                      <w:rFonts w:ascii="Calibri" w:eastAsia="Times New Roman" w:hAnsi="Calibri"/>
                      <w:color w:val="000000"/>
                    </w:rPr>
                  </w:pPr>
                  <w:r w:rsidRPr="004835FF">
                    <w:rPr>
                      <w:rFonts w:ascii="Calibri" w:eastAsia="Times New Roman" w:hAnsi="Calibri"/>
                      <w:color w:val="000000"/>
                    </w:rPr>
                    <w:t>-2.95</w:t>
                  </w:r>
                </w:p>
              </w:tc>
            </w:tr>
            <w:tr w:rsidR="004835FF" w:rsidRPr="004835FF" w:rsidTr="001C3FA6">
              <w:trPr>
                <w:trHeight w:val="309"/>
              </w:trPr>
              <w:tc>
                <w:tcPr>
                  <w:tcW w:w="437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4835FF" w:rsidRPr="004835FF" w:rsidRDefault="004835FF" w:rsidP="004835FF">
                  <w:pPr>
                    <w:spacing w:after="0" w:line="240" w:lineRule="auto"/>
                    <w:jc w:val="center"/>
                    <w:rPr>
                      <w:rFonts w:ascii="Calibri" w:eastAsia="Times New Roman" w:hAnsi="Calibri"/>
                      <w:color w:val="000000"/>
                    </w:rPr>
                  </w:pPr>
                  <w:r w:rsidRPr="004835FF">
                    <w:rPr>
                      <w:rFonts w:ascii="Calibri" w:eastAsia="Times New Roman" w:hAnsi="Calibri"/>
                      <w:color w:val="000000"/>
                    </w:rPr>
                    <w:t>Difference</w:t>
                  </w:r>
                </w:p>
              </w:tc>
              <w:tc>
                <w:tcPr>
                  <w:tcW w:w="3089" w:type="dxa"/>
                  <w:tcBorders>
                    <w:top w:val="nil"/>
                    <w:left w:val="nil"/>
                    <w:bottom w:val="single" w:sz="8" w:space="0" w:color="auto"/>
                    <w:right w:val="single" w:sz="8" w:space="0" w:color="auto"/>
                  </w:tcBorders>
                  <w:shd w:val="clear" w:color="auto" w:fill="BFBFBF" w:themeFill="background1" w:themeFillShade="BF"/>
                  <w:vAlign w:val="center"/>
                  <w:hideMark/>
                </w:tcPr>
                <w:p w:rsidR="004835FF" w:rsidRPr="004835FF" w:rsidRDefault="004835FF" w:rsidP="004835FF">
                  <w:pPr>
                    <w:spacing w:after="0" w:line="240" w:lineRule="auto"/>
                    <w:jc w:val="center"/>
                    <w:rPr>
                      <w:rFonts w:ascii="Calibri" w:eastAsia="Times New Roman" w:hAnsi="Calibri"/>
                      <w:b/>
                      <w:bCs/>
                      <w:color w:val="000000"/>
                    </w:rPr>
                  </w:pPr>
                  <w:r w:rsidRPr="004835FF">
                    <w:rPr>
                      <w:rFonts w:ascii="Calibri" w:eastAsia="Times New Roman" w:hAnsi="Calibri"/>
                      <w:b/>
                      <w:bCs/>
                      <w:color w:val="000000"/>
                    </w:rPr>
                    <w:t>-0.1</w:t>
                  </w:r>
                </w:p>
              </w:tc>
            </w:tr>
          </w:tbl>
          <w:p w:rsidR="004835FF" w:rsidRDefault="004835FF">
            <w:pPr>
              <w:spacing w:after="0" w:line="240" w:lineRule="auto"/>
              <w:rPr>
                <w:rFonts w:eastAsia="Times New Roman" w:cs="Arial"/>
                <w:color w:val="000000"/>
              </w:rPr>
            </w:pPr>
          </w:p>
        </w:tc>
      </w:tr>
      <w:tr w:rsidR="002C347E">
        <w:trPr>
          <w:trHeight w:val="900"/>
        </w:trPr>
        <w:tc>
          <w:tcPr>
            <w:tcW w:w="5807" w:type="dxa"/>
            <w:tcBorders>
              <w:top w:val="nil"/>
              <w:left w:val="single" w:sz="4" w:space="0" w:color="auto"/>
              <w:bottom w:val="single" w:sz="4" w:space="0" w:color="auto"/>
              <w:right w:val="single" w:sz="4" w:space="0" w:color="auto"/>
            </w:tcBorders>
            <w:shd w:val="clear" w:color="auto" w:fill="auto"/>
            <w:hideMark/>
          </w:tcPr>
          <w:p w:rsidR="002C347E" w:rsidRDefault="006848E8">
            <w:pPr>
              <w:spacing w:after="0" w:line="240" w:lineRule="auto"/>
              <w:rPr>
                <w:rFonts w:eastAsia="Times New Roman" w:cs="Arial"/>
                <w:color w:val="000000"/>
              </w:rPr>
            </w:pPr>
            <w:r>
              <w:rPr>
                <w:rFonts w:eastAsia="Times New Roman" w:cs="Arial"/>
                <w:color w:val="000000"/>
              </w:rPr>
              <w:t xml:space="preserve">Improve the Alternative Provision in the Academy by employing an Alternative Provision manager at grade 6.  50% of salary supported by Pupil Premium Grant.  Member of staff responsible for tracking, monitoring and supporting cohort of student studying at the alternative provision.  </w:t>
            </w:r>
          </w:p>
        </w:tc>
        <w:tc>
          <w:tcPr>
            <w:tcW w:w="992" w:type="dxa"/>
            <w:tcBorders>
              <w:top w:val="nil"/>
              <w:left w:val="nil"/>
              <w:bottom w:val="single" w:sz="4" w:space="0" w:color="auto"/>
              <w:right w:val="single" w:sz="4" w:space="0" w:color="auto"/>
            </w:tcBorders>
            <w:shd w:val="clear" w:color="auto" w:fill="auto"/>
            <w:hideMark/>
          </w:tcPr>
          <w:p w:rsidR="002C347E" w:rsidRDefault="006848E8">
            <w:pPr>
              <w:spacing w:after="0" w:line="240" w:lineRule="auto"/>
              <w:jc w:val="center"/>
              <w:rPr>
                <w:rFonts w:eastAsia="Times New Roman" w:cs="Arial"/>
                <w:color w:val="000000"/>
              </w:rPr>
            </w:pPr>
            <w:r>
              <w:rPr>
                <w:rFonts w:eastAsia="Times New Roman" w:cs="Arial"/>
                <w:color w:val="000000"/>
              </w:rPr>
              <w:t>16532</w:t>
            </w:r>
          </w:p>
        </w:tc>
        <w:tc>
          <w:tcPr>
            <w:tcW w:w="7721" w:type="dxa"/>
            <w:tcBorders>
              <w:top w:val="nil"/>
              <w:left w:val="nil"/>
              <w:bottom w:val="single" w:sz="4" w:space="0" w:color="auto"/>
              <w:right w:val="single" w:sz="4" w:space="0" w:color="auto"/>
            </w:tcBorders>
            <w:shd w:val="clear" w:color="auto" w:fill="auto"/>
            <w:hideMark/>
          </w:tcPr>
          <w:p w:rsidR="002C347E" w:rsidRDefault="006848E8">
            <w:pPr>
              <w:spacing w:after="0" w:line="240" w:lineRule="auto"/>
              <w:rPr>
                <w:rFonts w:eastAsia="Times New Roman" w:cs="Arial"/>
                <w:color w:val="000000"/>
              </w:rPr>
            </w:pPr>
            <w:r>
              <w:rPr>
                <w:rFonts w:eastAsia="Times New Roman" w:cs="Arial"/>
                <w:color w:val="000000"/>
              </w:rPr>
              <w:t xml:space="preserve">The Alternative Provision cohort had in excess of 70% PP.  Our vulnerable students contributed negatively (-2.998) towards progress 8.  This compares to -0.575 for the non-vulnerable students.  </w:t>
            </w:r>
          </w:p>
        </w:tc>
      </w:tr>
      <w:tr w:rsidR="002C347E">
        <w:trPr>
          <w:trHeight w:val="600"/>
        </w:trPr>
        <w:tc>
          <w:tcPr>
            <w:tcW w:w="5807" w:type="dxa"/>
            <w:tcBorders>
              <w:top w:val="nil"/>
              <w:left w:val="single" w:sz="4" w:space="0" w:color="auto"/>
              <w:bottom w:val="single" w:sz="4" w:space="0" w:color="auto"/>
              <w:right w:val="single" w:sz="4" w:space="0" w:color="auto"/>
            </w:tcBorders>
            <w:shd w:val="clear" w:color="auto" w:fill="auto"/>
            <w:hideMark/>
          </w:tcPr>
          <w:p w:rsidR="002C347E" w:rsidRDefault="006848E8">
            <w:pPr>
              <w:spacing w:after="0" w:line="240" w:lineRule="auto"/>
              <w:rPr>
                <w:rFonts w:eastAsia="Times New Roman" w:cs="Arial"/>
                <w:color w:val="000000"/>
              </w:rPr>
            </w:pPr>
            <w:r>
              <w:rPr>
                <w:rFonts w:eastAsia="Times New Roman" w:cs="Arial"/>
                <w:color w:val="000000"/>
              </w:rPr>
              <w:t>Uniform</w:t>
            </w:r>
          </w:p>
        </w:tc>
        <w:tc>
          <w:tcPr>
            <w:tcW w:w="992" w:type="dxa"/>
            <w:tcBorders>
              <w:top w:val="nil"/>
              <w:left w:val="nil"/>
              <w:bottom w:val="single" w:sz="4" w:space="0" w:color="auto"/>
              <w:right w:val="single" w:sz="4" w:space="0" w:color="auto"/>
            </w:tcBorders>
            <w:shd w:val="clear" w:color="auto" w:fill="auto"/>
            <w:hideMark/>
          </w:tcPr>
          <w:p w:rsidR="002C347E" w:rsidRDefault="006848E8">
            <w:pPr>
              <w:spacing w:after="0" w:line="240" w:lineRule="auto"/>
              <w:jc w:val="center"/>
              <w:rPr>
                <w:rFonts w:eastAsia="Times New Roman" w:cs="Arial"/>
                <w:color w:val="000000"/>
              </w:rPr>
            </w:pPr>
            <w:r>
              <w:rPr>
                <w:rFonts w:eastAsia="Times New Roman" w:cs="Arial"/>
                <w:color w:val="000000"/>
              </w:rPr>
              <w:t>140</w:t>
            </w:r>
          </w:p>
        </w:tc>
        <w:tc>
          <w:tcPr>
            <w:tcW w:w="7721" w:type="dxa"/>
            <w:tcBorders>
              <w:top w:val="nil"/>
              <w:left w:val="nil"/>
              <w:bottom w:val="single" w:sz="4" w:space="0" w:color="auto"/>
              <w:right w:val="single" w:sz="4" w:space="0" w:color="auto"/>
            </w:tcBorders>
            <w:shd w:val="clear" w:color="auto" w:fill="auto"/>
            <w:hideMark/>
          </w:tcPr>
          <w:p w:rsidR="002C347E" w:rsidRDefault="006848E8" w:rsidP="006A0512">
            <w:pPr>
              <w:spacing w:after="0" w:line="240" w:lineRule="auto"/>
              <w:rPr>
                <w:rFonts w:eastAsia="Times New Roman" w:cs="Arial"/>
                <w:color w:val="000000"/>
              </w:rPr>
            </w:pPr>
            <w:r>
              <w:rPr>
                <w:rFonts w:eastAsia="Times New Roman" w:cs="Arial"/>
                <w:color w:val="000000"/>
              </w:rPr>
              <w:t xml:space="preserve">Stock of uniform purchased to ensure disadvantaged students had access to correct uniform if required.  </w:t>
            </w:r>
            <w:r w:rsidR="00BE3329">
              <w:rPr>
                <w:rFonts w:eastAsia="Times New Roman" w:cs="Arial"/>
                <w:color w:val="000000"/>
              </w:rPr>
              <w:t xml:space="preserve">This supported </w:t>
            </w:r>
            <w:r w:rsidR="006A0512">
              <w:rPr>
                <w:rFonts w:eastAsia="Times New Roman" w:cs="Arial"/>
                <w:color w:val="000000"/>
              </w:rPr>
              <w:t xml:space="preserve">the average improvement of </w:t>
            </w:r>
            <w:r>
              <w:rPr>
                <w:rFonts w:eastAsia="Times New Roman" w:cs="Arial"/>
                <w:color w:val="000000"/>
              </w:rPr>
              <w:t>attendance to the aca</w:t>
            </w:r>
            <w:r w:rsidR="00BE3329">
              <w:rPr>
                <w:rFonts w:eastAsia="Times New Roman" w:cs="Arial"/>
                <w:color w:val="000000"/>
              </w:rPr>
              <w:t>de</w:t>
            </w:r>
            <w:r w:rsidR="006A0512">
              <w:rPr>
                <w:rFonts w:eastAsia="Times New Roman" w:cs="Arial"/>
                <w:color w:val="000000"/>
              </w:rPr>
              <w:t xml:space="preserve">my for Pupil Premium students to </w:t>
            </w:r>
            <w:r>
              <w:rPr>
                <w:rFonts w:eastAsia="Times New Roman" w:cs="Arial"/>
                <w:color w:val="000000"/>
              </w:rPr>
              <w:t>91.57%.</w:t>
            </w:r>
          </w:p>
        </w:tc>
      </w:tr>
      <w:tr w:rsidR="002C347E">
        <w:trPr>
          <w:trHeight w:val="1500"/>
        </w:trPr>
        <w:tc>
          <w:tcPr>
            <w:tcW w:w="5807" w:type="dxa"/>
            <w:tcBorders>
              <w:top w:val="nil"/>
              <w:left w:val="single" w:sz="4" w:space="0" w:color="auto"/>
              <w:bottom w:val="single" w:sz="4" w:space="0" w:color="auto"/>
              <w:right w:val="single" w:sz="4" w:space="0" w:color="auto"/>
            </w:tcBorders>
            <w:shd w:val="clear" w:color="auto" w:fill="auto"/>
            <w:noWrap/>
            <w:hideMark/>
          </w:tcPr>
          <w:p w:rsidR="002C347E" w:rsidRDefault="006848E8">
            <w:pPr>
              <w:spacing w:after="0" w:line="240" w:lineRule="auto"/>
              <w:rPr>
                <w:rFonts w:eastAsia="Times New Roman" w:cs="Arial"/>
                <w:color w:val="000000"/>
              </w:rPr>
            </w:pPr>
            <w:r>
              <w:rPr>
                <w:rFonts w:eastAsia="Times New Roman" w:cs="Arial"/>
                <w:color w:val="000000"/>
              </w:rPr>
              <w:t>Additional staffing to decrease class sizes.  2 x English staff were recruited to support with reducing the class sizes in English.  1 x staff member was recruited to reduce the class sizes in Science.</w:t>
            </w:r>
          </w:p>
        </w:tc>
        <w:tc>
          <w:tcPr>
            <w:tcW w:w="992" w:type="dxa"/>
            <w:tcBorders>
              <w:top w:val="nil"/>
              <w:left w:val="nil"/>
              <w:bottom w:val="single" w:sz="4" w:space="0" w:color="auto"/>
              <w:right w:val="single" w:sz="4" w:space="0" w:color="auto"/>
            </w:tcBorders>
            <w:shd w:val="clear" w:color="auto" w:fill="auto"/>
            <w:hideMark/>
          </w:tcPr>
          <w:p w:rsidR="002C347E" w:rsidRDefault="006848E8">
            <w:pPr>
              <w:spacing w:after="0" w:line="240" w:lineRule="auto"/>
              <w:jc w:val="center"/>
              <w:rPr>
                <w:rFonts w:eastAsia="Times New Roman" w:cs="Arial"/>
                <w:color w:val="000000"/>
              </w:rPr>
            </w:pPr>
            <w:r>
              <w:rPr>
                <w:rFonts w:eastAsia="Times New Roman" w:cs="Arial"/>
                <w:color w:val="000000"/>
              </w:rPr>
              <w:t>4548</w:t>
            </w:r>
          </w:p>
        </w:tc>
        <w:tc>
          <w:tcPr>
            <w:tcW w:w="7721" w:type="dxa"/>
            <w:tcBorders>
              <w:top w:val="nil"/>
              <w:left w:val="nil"/>
              <w:bottom w:val="single" w:sz="4" w:space="0" w:color="auto"/>
              <w:right w:val="single" w:sz="4" w:space="0" w:color="auto"/>
            </w:tcBorders>
            <w:shd w:val="clear" w:color="auto" w:fill="auto"/>
            <w:hideMark/>
          </w:tcPr>
          <w:p w:rsidR="002C347E" w:rsidRDefault="006848E8">
            <w:pPr>
              <w:pStyle w:val="NoSpacing"/>
            </w:pPr>
            <w:r>
              <w:t>Last year the number of students who secured 2xC+ in Science was 25 (26%), therefore there has been a slight improvement in this measure (30%).</w:t>
            </w:r>
          </w:p>
          <w:p w:rsidR="002C347E" w:rsidRDefault="006848E8">
            <w:pPr>
              <w:pStyle w:val="NoSpacing"/>
              <w:rPr>
                <w:rFonts w:eastAsia="Times New Roman"/>
              </w:rPr>
            </w:pPr>
            <w:r>
              <w:rPr>
                <w:rFonts w:eastAsia="Times New Roman"/>
              </w:rPr>
              <w:t xml:space="preserve">In English Language 9.6% of Pupil Premium students made expected or better progress compared to 7.7% for their non-Pupil Premium peers.  </w:t>
            </w:r>
          </w:p>
          <w:p w:rsidR="002C347E" w:rsidRDefault="006848E8">
            <w:pPr>
              <w:pStyle w:val="NoSpacing"/>
              <w:rPr>
                <w:rFonts w:eastAsia="Times New Roman"/>
              </w:rPr>
            </w:pPr>
            <w:r>
              <w:rPr>
                <w:rFonts w:eastAsia="Times New Roman"/>
              </w:rPr>
              <w:t xml:space="preserve">75% of Upper ability Pupil Premium students achieved a 9-4 in English. </w:t>
            </w:r>
          </w:p>
          <w:p w:rsidR="002C347E" w:rsidRDefault="006848E8">
            <w:pPr>
              <w:pStyle w:val="NoSpacing"/>
            </w:pPr>
            <w:r>
              <w:rPr>
                <w:rFonts w:eastAsia="Times New Roman"/>
              </w:rPr>
              <w:t>100% of Upper ability Pupil premium students achieved 9-4 in Maths.</w:t>
            </w:r>
            <w:r>
              <w:t xml:space="preserve"> </w:t>
            </w:r>
          </w:p>
        </w:tc>
      </w:tr>
      <w:tr w:rsidR="002C347E">
        <w:trPr>
          <w:trHeight w:val="2307"/>
        </w:trPr>
        <w:tc>
          <w:tcPr>
            <w:tcW w:w="5807" w:type="dxa"/>
            <w:tcBorders>
              <w:top w:val="nil"/>
              <w:left w:val="single" w:sz="4" w:space="0" w:color="auto"/>
              <w:bottom w:val="single" w:sz="4" w:space="0" w:color="auto"/>
              <w:right w:val="single" w:sz="4" w:space="0" w:color="auto"/>
            </w:tcBorders>
            <w:shd w:val="clear" w:color="auto" w:fill="auto"/>
            <w:hideMark/>
          </w:tcPr>
          <w:p w:rsidR="002C347E" w:rsidRDefault="006848E8">
            <w:pPr>
              <w:spacing w:after="0" w:line="240" w:lineRule="auto"/>
              <w:rPr>
                <w:rFonts w:eastAsia="Times New Roman" w:cs="Arial"/>
                <w:color w:val="000000"/>
              </w:rPr>
            </w:pPr>
            <w:r>
              <w:rPr>
                <w:rFonts w:eastAsia="Times New Roman" w:cs="Arial"/>
                <w:color w:val="000000"/>
              </w:rPr>
              <w:t xml:space="preserve">Create links with families to identify individual needs through our parental support advisor.  50% of salary supported by Pupil Premium Grant.  Early Help Officer appointed to support with offering early help intervention with families.  </w:t>
            </w:r>
          </w:p>
        </w:tc>
        <w:tc>
          <w:tcPr>
            <w:tcW w:w="992" w:type="dxa"/>
            <w:tcBorders>
              <w:top w:val="nil"/>
              <w:left w:val="nil"/>
              <w:bottom w:val="single" w:sz="4" w:space="0" w:color="auto"/>
              <w:right w:val="single" w:sz="4" w:space="0" w:color="auto"/>
            </w:tcBorders>
            <w:shd w:val="clear" w:color="auto" w:fill="auto"/>
            <w:hideMark/>
          </w:tcPr>
          <w:p w:rsidR="002C347E" w:rsidRDefault="006848E8">
            <w:pPr>
              <w:spacing w:after="0" w:line="240" w:lineRule="auto"/>
              <w:jc w:val="center"/>
              <w:rPr>
                <w:rFonts w:eastAsia="Times New Roman" w:cs="Arial"/>
                <w:color w:val="000000"/>
              </w:rPr>
            </w:pPr>
            <w:r>
              <w:rPr>
                <w:rFonts w:eastAsia="Times New Roman" w:cs="Arial"/>
                <w:color w:val="000000"/>
              </w:rPr>
              <w:t>14961</w:t>
            </w:r>
          </w:p>
        </w:tc>
        <w:tc>
          <w:tcPr>
            <w:tcW w:w="7721" w:type="dxa"/>
            <w:tcBorders>
              <w:top w:val="nil"/>
              <w:left w:val="nil"/>
              <w:bottom w:val="single" w:sz="4" w:space="0" w:color="auto"/>
              <w:right w:val="single" w:sz="4" w:space="0" w:color="auto"/>
            </w:tcBorders>
            <w:shd w:val="clear" w:color="auto" w:fill="auto"/>
            <w:hideMark/>
          </w:tcPr>
          <w:p w:rsidR="002C347E" w:rsidRDefault="006848E8">
            <w:pPr>
              <w:spacing w:after="0" w:line="240" w:lineRule="auto"/>
              <w:rPr>
                <w:rFonts w:eastAsia="Times New Roman" w:cs="Arial"/>
                <w:color w:val="000000"/>
              </w:rPr>
            </w:pPr>
            <w:r>
              <w:rPr>
                <w:rFonts w:eastAsia="Times New Roman" w:cs="Arial"/>
                <w:color w:val="000000"/>
              </w:rPr>
              <w:t>When looking at the number of students under early help there was a significant number of Pupil Premium students being supported and referred.  This was in excess of 70% of the cases dealt with.</w:t>
            </w:r>
          </w:p>
          <w:p w:rsidR="002C347E" w:rsidRDefault="00055671">
            <w:pPr>
              <w:spacing w:after="0" w:line="240" w:lineRule="auto"/>
              <w:rPr>
                <w:rFonts w:eastAsia="Times New Roman" w:cs="Arial"/>
                <w:color w:val="000000"/>
              </w:rPr>
            </w:pPr>
            <w:r>
              <w:rPr>
                <w:rFonts w:eastAsia="Times New Roman" w:cs="Arial"/>
                <w:color w:val="000000"/>
              </w:rPr>
              <w:t xml:space="preserve">Early Help Officer supported the improvement in </w:t>
            </w:r>
            <w:r w:rsidR="006848E8">
              <w:rPr>
                <w:rFonts w:eastAsia="Times New Roman" w:cs="Arial"/>
                <w:color w:val="000000"/>
              </w:rPr>
              <w:t xml:space="preserve">average attendance to the academy for Pupil Premium students </w:t>
            </w:r>
            <w:r>
              <w:rPr>
                <w:rFonts w:eastAsia="Times New Roman" w:cs="Arial"/>
                <w:color w:val="000000"/>
              </w:rPr>
              <w:t>to</w:t>
            </w:r>
            <w:r w:rsidR="006848E8">
              <w:rPr>
                <w:rFonts w:eastAsia="Times New Roman" w:cs="Arial"/>
                <w:color w:val="000000"/>
              </w:rPr>
              <w:t xml:space="preserve"> 91.57%.</w:t>
            </w:r>
          </w:p>
          <w:p w:rsidR="00055671" w:rsidRDefault="00055671" w:rsidP="00055671">
            <w:pPr>
              <w:spacing w:line="240" w:lineRule="auto"/>
            </w:pPr>
            <w:r>
              <w:rPr>
                <w:rFonts w:eastAsia="Times New Roman" w:cs="Arial"/>
                <w:color w:val="000000"/>
              </w:rPr>
              <w:t>Early Help Officer supported the r</w:t>
            </w:r>
            <w:r w:rsidR="006848E8">
              <w:t>eduction in the number of Pupil Premium students receiving fixed term exclusions</w:t>
            </w:r>
            <w:r>
              <w:t>:</w:t>
            </w:r>
            <w:r w:rsidR="006848E8">
              <w:t xml:space="preserve"> </w:t>
            </w:r>
          </w:p>
          <w:p w:rsidR="002C347E" w:rsidRDefault="006848E8" w:rsidP="00055671">
            <w:pPr>
              <w:spacing w:line="240" w:lineRule="auto"/>
            </w:pPr>
            <w:r>
              <w:t>December 2016 – 79% of exclusions are Pupil Premium learners - March 2017 – 66% of exclusions are Pupil Premium learners.</w:t>
            </w:r>
          </w:p>
        </w:tc>
      </w:tr>
      <w:tr w:rsidR="002C347E">
        <w:trPr>
          <w:trHeight w:val="820"/>
        </w:trPr>
        <w:tc>
          <w:tcPr>
            <w:tcW w:w="5807" w:type="dxa"/>
            <w:tcBorders>
              <w:top w:val="nil"/>
              <w:left w:val="single" w:sz="4" w:space="0" w:color="auto"/>
              <w:bottom w:val="single" w:sz="4" w:space="0" w:color="auto"/>
              <w:right w:val="single" w:sz="4" w:space="0" w:color="auto"/>
            </w:tcBorders>
            <w:shd w:val="clear" w:color="auto" w:fill="auto"/>
            <w:noWrap/>
            <w:hideMark/>
          </w:tcPr>
          <w:p w:rsidR="002C347E" w:rsidRDefault="006848E8">
            <w:pPr>
              <w:spacing w:after="0" w:line="240" w:lineRule="auto"/>
              <w:rPr>
                <w:rFonts w:eastAsia="Times New Roman" w:cs="Arial"/>
                <w:color w:val="000000"/>
              </w:rPr>
            </w:pPr>
            <w:r>
              <w:rPr>
                <w:rFonts w:eastAsia="Times New Roman" w:cs="Arial"/>
                <w:color w:val="000000"/>
              </w:rPr>
              <w:t>Opportunities to visit universities to raise aspirations.  Students from across KS4 were given various opportunities to visit many Higher Education and Further Education institutes from across the local area.</w:t>
            </w:r>
          </w:p>
        </w:tc>
        <w:tc>
          <w:tcPr>
            <w:tcW w:w="992" w:type="dxa"/>
            <w:tcBorders>
              <w:top w:val="nil"/>
              <w:left w:val="nil"/>
              <w:bottom w:val="single" w:sz="4" w:space="0" w:color="auto"/>
              <w:right w:val="single" w:sz="4" w:space="0" w:color="auto"/>
            </w:tcBorders>
            <w:shd w:val="clear" w:color="auto" w:fill="auto"/>
            <w:hideMark/>
          </w:tcPr>
          <w:p w:rsidR="002C347E" w:rsidRDefault="006848E8">
            <w:pPr>
              <w:spacing w:after="0" w:line="240" w:lineRule="auto"/>
              <w:jc w:val="center"/>
              <w:rPr>
                <w:rFonts w:eastAsia="Times New Roman" w:cs="Arial"/>
                <w:color w:val="000000"/>
              </w:rPr>
            </w:pPr>
            <w:r>
              <w:rPr>
                <w:rFonts w:eastAsia="Times New Roman" w:cs="Arial"/>
                <w:color w:val="000000"/>
              </w:rPr>
              <w:t>0</w:t>
            </w:r>
          </w:p>
        </w:tc>
        <w:tc>
          <w:tcPr>
            <w:tcW w:w="7721" w:type="dxa"/>
            <w:tcBorders>
              <w:top w:val="nil"/>
              <w:left w:val="nil"/>
              <w:bottom w:val="single" w:sz="4" w:space="0" w:color="auto"/>
              <w:right w:val="single" w:sz="4" w:space="0" w:color="auto"/>
            </w:tcBorders>
            <w:shd w:val="clear" w:color="auto" w:fill="auto"/>
            <w:hideMark/>
          </w:tcPr>
          <w:p w:rsidR="002C347E" w:rsidRDefault="006848E8">
            <w:pPr>
              <w:spacing w:after="0" w:line="240" w:lineRule="auto"/>
              <w:rPr>
                <w:rFonts w:eastAsia="Times New Roman" w:cs="Arial"/>
                <w:color w:val="000000"/>
              </w:rPr>
            </w:pPr>
            <w:r>
              <w:rPr>
                <w:rFonts w:eastAsia="Times New Roman" w:cs="Arial"/>
                <w:color w:val="000000"/>
              </w:rPr>
              <w:t xml:space="preserve">Pupil Premium students made up in excess 40% which was in line their representation in the cohort.  </w:t>
            </w:r>
          </w:p>
          <w:p w:rsidR="002C347E" w:rsidRDefault="006848E8">
            <w:pPr>
              <w:spacing w:after="0" w:line="240" w:lineRule="auto"/>
            </w:pPr>
            <w:r>
              <w:t xml:space="preserve">10 students applied to Connell College, a member within the Bright Futures Educational trust, which was a 100% improvement on the previous academic year.  </w:t>
            </w:r>
          </w:p>
        </w:tc>
      </w:tr>
      <w:tr w:rsidR="002C347E">
        <w:trPr>
          <w:trHeight w:val="300"/>
        </w:trPr>
        <w:tc>
          <w:tcPr>
            <w:tcW w:w="5807" w:type="dxa"/>
            <w:tcBorders>
              <w:top w:val="nil"/>
              <w:left w:val="single" w:sz="4" w:space="0" w:color="auto"/>
              <w:bottom w:val="single" w:sz="4" w:space="0" w:color="auto"/>
              <w:right w:val="single" w:sz="4" w:space="0" w:color="auto"/>
            </w:tcBorders>
            <w:shd w:val="clear" w:color="auto" w:fill="auto"/>
            <w:noWrap/>
            <w:hideMark/>
          </w:tcPr>
          <w:p w:rsidR="002C347E" w:rsidRDefault="006848E8">
            <w:pPr>
              <w:spacing w:after="0" w:line="240" w:lineRule="auto"/>
              <w:rPr>
                <w:rFonts w:eastAsia="Times New Roman" w:cs="Arial"/>
                <w:color w:val="000000"/>
              </w:rPr>
            </w:pPr>
            <w:r>
              <w:rPr>
                <w:rFonts w:eastAsia="Times New Roman" w:cs="Arial"/>
                <w:color w:val="000000"/>
              </w:rPr>
              <w:t xml:space="preserve">Specialist equipment to support access arrangements for year 11 students in their GCSE examinations.  </w:t>
            </w:r>
          </w:p>
        </w:tc>
        <w:tc>
          <w:tcPr>
            <w:tcW w:w="992" w:type="dxa"/>
            <w:tcBorders>
              <w:top w:val="nil"/>
              <w:left w:val="nil"/>
              <w:bottom w:val="single" w:sz="4" w:space="0" w:color="auto"/>
              <w:right w:val="single" w:sz="4" w:space="0" w:color="auto"/>
            </w:tcBorders>
            <w:shd w:val="clear" w:color="auto" w:fill="auto"/>
            <w:hideMark/>
          </w:tcPr>
          <w:p w:rsidR="002C347E" w:rsidRDefault="006848E8">
            <w:pPr>
              <w:spacing w:after="0" w:line="240" w:lineRule="auto"/>
              <w:jc w:val="center"/>
              <w:rPr>
                <w:rFonts w:eastAsia="Times New Roman" w:cs="Arial"/>
                <w:color w:val="000000"/>
              </w:rPr>
            </w:pPr>
            <w:r>
              <w:rPr>
                <w:rFonts w:eastAsia="Times New Roman" w:cs="Arial"/>
                <w:color w:val="000000"/>
              </w:rPr>
              <w:t>1448</w:t>
            </w:r>
          </w:p>
        </w:tc>
        <w:tc>
          <w:tcPr>
            <w:tcW w:w="7721" w:type="dxa"/>
            <w:tcBorders>
              <w:top w:val="nil"/>
              <w:left w:val="nil"/>
              <w:bottom w:val="single" w:sz="4" w:space="0" w:color="auto"/>
              <w:right w:val="single" w:sz="4" w:space="0" w:color="auto"/>
            </w:tcBorders>
            <w:shd w:val="clear" w:color="auto" w:fill="auto"/>
          </w:tcPr>
          <w:p w:rsidR="002C347E" w:rsidRDefault="00055671" w:rsidP="00055671">
            <w:pPr>
              <w:spacing w:line="240" w:lineRule="auto"/>
            </w:pPr>
            <w:r>
              <w:t>Having specialist equipment for the GCSE exams supported the improvement in a</w:t>
            </w:r>
            <w:r w:rsidR="006848E8">
              <w:t>verage Pupil Premium attendance to GCSE exams</w:t>
            </w:r>
            <w:r>
              <w:t xml:space="preserve">.  Attendance to the exams </w:t>
            </w:r>
            <w:r w:rsidR="006848E8">
              <w:t>was significantly higher than for average school days +1.93%</w:t>
            </w:r>
            <w:r>
              <w:t xml:space="preserve"> for Pupil premium students</w:t>
            </w:r>
            <w:r w:rsidR="006848E8">
              <w:t>.</w:t>
            </w:r>
          </w:p>
        </w:tc>
      </w:tr>
      <w:tr w:rsidR="002C347E">
        <w:trPr>
          <w:trHeight w:val="300"/>
        </w:trPr>
        <w:tc>
          <w:tcPr>
            <w:tcW w:w="5807" w:type="dxa"/>
            <w:tcBorders>
              <w:top w:val="single" w:sz="4" w:space="0" w:color="auto"/>
              <w:left w:val="single" w:sz="4" w:space="0" w:color="auto"/>
              <w:bottom w:val="single" w:sz="4" w:space="0" w:color="auto"/>
              <w:right w:val="nil"/>
            </w:tcBorders>
            <w:shd w:val="clear" w:color="auto" w:fill="auto"/>
            <w:noWrap/>
            <w:hideMark/>
          </w:tcPr>
          <w:p w:rsidR="002C347E" w:rsidRDefault="006848E8">
            <w:pPr>
              <w:spacing w:after="0" w:line="240" w:lineRule="auto"/>
              <w:rPr>
                <w:rFonts w:eastAsia="Times New Roman" w:cs="Arial"/>
                <w:color w:val="000000"/>
              </w:rPr>
            </w:pPr>
            <w:r>
              <w:rPr>
                <w:rFonts w:eastAsia="Times New Roman" w:cs="Arial"/>
                <w:color w:val="000000"/>
              </w:rPr>
              <w:t>City Year - 7 additional staff formed part of the City Year team.  These supported with attendance, punctuality and behaviour across the academy.  The City year team</w:t>
            </w:r>
            <w:r w:rsidR="003F72CA">
              <w:rPr>
                <w:rFonts w:eastAsia="Times New Roman" w:cs="Arial"/>
                <w:color w:val="000000"/>
              </w:rPr>
              <w:t xml:space="preserve"> worked with 68 targeted students with 39% being Pupil Premium.  The City year initiative</w:t>
            </w:r>
            <w:r>
              <w:rPr>
                <w:rFonts w:eastAsia="Times New Roman" w:cs="Arial"/>
                <w:color w:val="000000"/>
              </w:rPr>
              <w:t xml:space="preserve"> was not as effective as was hoped although they did have positive impact on some individual Pupil Premium students’ attendance. The contract was not renewed.  </w:t>
            </w:r>
          </w:p>
        </w:tc>
        <w:tc>
          <w:tcPr>
            <w:tcW w:w="992" w:type="dxa"/>
            <w:tcBorders>
              <w:top w:val="nil"/>
              <w:left w:val="single" w:sz="4" w:space="0" w:color="auto"/>
              <w:bottom w:val="single" w:sz="4" w:space="0" w:color="auto"/>
              <w:right w:val="single" w:sz="4" w:space="0" w:color="auto"/>
            </w:tcBorders>
            <w:shd w:val="clear" w:color="auto" w:fill="auto"/>
            <w:hideMark/>
          </w:tcPr>
          <w:p w:rsidR="002C347E" w:rsidRDefault="006848E8">
            <w:pPr>
              <w:spacing w:after="0" w:line="240" w:lineRule="auto"/>
              <w:jc w:val="center"/>
              <w:rPr>
                <w:rFonts w:eastAsia="Times New Roman" w:cs="Arial"/>
                <w:color w:val="000000"/>
              </w:rPr>
            </w:pPr>
            <w:r>
              <w:rPr>
                <w:rFonts w:eastAsia="Times New Roman" w:cs="Arial"/>
                <w:color w:val="000000"/>
              </w:rPr>
              <w:t>36000</w:t>
            </w:r>
          </w:p>
        </w:tc>
        <w:tc>
          <w:tcPr>
            <w:tcW w:w="7721" w:type="dxa"/>
            <w:tcBorders>
              <w:top w:val="nil"/>
              <w:left w:val="nil"/>
              <w:bottom w:val="single" w:sz="4" w:space="0" w:color="auto"/>
              <w:right w:val="single" w:sz="4" w:space="0" w:color="auto"/>
            </w:tcBorders>
            <w:shd w:val="clear" w:color="auto" w:fill="auto"/>
          </w:tcPr>
          <w:p w:rsidR="003F72CA" w:rsidRPr="003F72CA" w:rsidRDefault="003F72CA" w:rsidP="003F72CA">
            <w:pPr>
              <w:pStyle w:val="NoSpacing"/>
              <w:rPr>
                <w:rFonts w:eastAsia="ArialMT"/>
                <w:lang w:eastAsia="en-US"/>
              </w:rPr>
            </w:pPr>
            <w:r w:rsidRPr="003F72CA">
              <w:rPr>
                <w:rFonts w:eastAsia="ArialMT"/>
                <w:lang w:eastAsia="en-US"/>
              </w:rPr>
              <w:t>Average number of behaviour points for the whole Focus List decreased by 37%.</w:t>
            </w:r>
          </w:p>
          <w:p w:rsidR="003F72CA" w:rsidRPr="003F72CA" w:rsidRDefault="003F72CA" w:rsidP="003F72CA">
            <w:pPr>
              <w:pStyle w:val="NoSpacing"/>
              <w:rPr>
                <w:rFonts w:eastAsia="ArialMT"/>
                <w:lang w:eastAsia="en-US"/>
              </w:rPr>
            </w:pPr>
            <w:r w:rsidRPr="003F72CA">
              <w:rPr>
                <w:rFonts w:eastAsia="ArialMT"/>
                <w:lang w:eastAsia="en-US"/>
              </w:rPr>
              <w:t>Average number of be</w:t>
            </w:r>
            <w:r>
              <w:rPr>
                <w:rFonts w:eastAsia="ArialMT"/>
                <w:lang w:eastAsia="en-US"/>
              </w:rPr>
              <w:t xml:space="preserve">haviour points for Year 7 Focus list </w:t>
            </w:r>
            <w:r w:rsidRPr="003F72CA">
              <w:rPr>
                <w:rFonts w:eastAsia="ArialMT"/>
                <w:lang w:eastAsia="en-US"/>
              </w:rPr>
              <w:t>decreased by</w:t>
            </w:r>
            <w:r>
              <w:rPr>
                <w:rFonts w:eastAsia="ArialMT"/>
                <w:lang w:eastAsia="en-US"/>
              </w:rPr>
              <w:t xml:space="preserve"> </w:t>
            </w:r>
            <w:r w:rsidRPr="003F72CA">
              <w:rPr>
                <w:rFonts w:eastAsia="ArialMT"/>
                <w:lang w:eastAsia="en-US"/>
              </w:rPr>
              <w:t>12%.</w:t>
            </w:r>
          </w:p>
          <w:p w:rsidR="003F72CA" w:rsidRPr="003F72CA" w:rsidRDefault="003F72CA" w:rsidP="003F72CA">
            <w:pPr>
              <w:pStyle w:val="NoSpacing"/>
              <w:rPr>
                <w:rFonts w:eastAsia="ArialMT"/>
                <w:lang w:eastAsia="en-US"/>
              </w:rPr>
            </w:pPr>
            <w:r w:rsidRPr="003F72CA">
              <w:rPr>
                <w:rFonts w:eastAsia="ArialMT"/>
                <w:lang w:eastAsia="en-US"/>
              </w:rPr>
              <w:t>Average number of behaviour points for Year 8 Focus List decreased by 58%.</w:t>
            </w:r>
          </w:p>
          <w:p w:rsidR="003F72CA" w:rsidRPr="003F72CA" w:rsidRDefault="003F72CA" w:rsidP="003F72CA">
            <w:pPr>
              <w:pStyle w:val="NoSpacing"/>
              <w:rPr>
                <w:rFonts w:eastAsia="ArialMT"/>
                <w:lang w:eastAsia="en-US"/>
              </w:rPr>
            </w:pPr>
            <w:r w:rsidRPr="003F72CA">
              <w:rPr>
                <w:rFonts w:eastAsia="ArialMT"/>
                <w:lang w:eastAsia="en-US"/>
              </w:rPr>
              <w:t>Average number of behaviour points for Year 9 Focus List decreased by 30%.</w:t>
            </w:r>
          </w:p>
          <w:p w:rsidR="002C347E" w:rsidRPr="003F72CA" w:rsidRDefault="003F72CA" w:rsidP="003F72CA">
            <w:pPr>
              <w:pStyle w:val="NoSpacing"/>
              <w:rPr>
                <w:rFonts w:eastAsia="ArialMT"/>
                <w:lang w:eastAsia="en-US"/>
              </w:rPr>
            </w:pPr>
            <w:r w:rsidRPr="003F72CA">
              <w:rPr>
                <w:rFonts w:eastAsia="ArialMT"/>
                <w:lang w:eastAsia="en-US"/>
              </w:rPr>
              <w:t>Average number of behaviour points for Year 11 Focus List decreased by 33%.</w:t>
            </w:r>
          </w:p>
          <w:p w:rsidR="006A0512" w:rsidRDefault="003F72CA" w:rsidP="003F72CA">
            <w:pPr>
              <w:autoSpaceDE w:val="0"/>
              <w:autoSpaceDN w:val="0"/>
              <w:adjustRightInd w:val="0"/>
              <w:spacing w:after="0" w:line="240" w:lineRule="auto"/>
              <w:rPr>
                <w:rFonts w:eastAsia="ArialMT" w:cs="ArialMT"/>
                <w:lang w:eastAsia="en-US"/>
              </w:rPr>
            </w:pPr>
            <w:r w:rsidRPr="003F72CA">
              <w:rPr>
                <w:rFonts w:eastAsia="ArialMT" w:cs="ArialMT"/>
                <w:lang w:eastAsia="en-US"/>
              </w:rPr>
              <w:t xml:space="preserve">Average attendance for the whole Focus List decreased by 7%. </w:t>
            </w:r>
          </w:p>
          <w:p w:rsidR="003F72CA" w:rsidRPr="003F72CA" w:rsidRDefault="003F72CA" w:rsidP="003F72CA">
            <w:pPr>
              <w:autoSpaceDE w:val="0"/>
              <w:autoSpaceDN w:val="0"/>
              <w:adjustRightInd w:val="0"/>
              <w:spacing w:after="0" w:line="240" w:lineRule="auto"/>
              <w:rPr>
                <w:rFonts w:eastAsia="ArialMT" w:cs="ArialMT"/>
                <w:lang w:eastAsia="en-US"/>
              </w:rPr>
            </w:pPr>
            <w:r w:rsidRPr="003F72CA">
              <w:rPr>
                <w:rFonts w:eastAsia="ArialMT" w:cs="ArialMT"/>
                <w:lang w:eastAsia="en-US"/>
              </w:rPr>
              <w:t>Average attendance for the Year 7 Focus List decreased by 5%.</w:t>
            </w:r>
          </w:p>
          <w:p w:rsidR="003F72CA" w:rsidRPr="003F72CA" w:rsidRDefault="003F72CA" w:rsidP="00A27809">
            <w:pPr>
              <w:autoSpaceDE w:val="0"/>
              <w:autoSpaceDN w:val="0"/>
              <w:adjustRightInd w:val="0"/>
              <w:spacing w:after="0" w:line="240" w:lineRule="auto"/>
              <w:rPr>
                <w:rFonts w:eastAsia="ArialMT" w:cs="ArialMT"/>
                <w:lang w:eastAsia="en-US"/>
              </w:rPr>
            </w:pPr>
            <w:r w:rsidRPr="003F72CA">
              <w:rPr>
                <w:rFonts w:eastAsia="ArialMT" w:cs="ArialMT"/>
                <w:lang w:eastAsia="en-US"/>
              </w:rPr>
              <w:t xml:space="preserve">Average attendance for the Year 8 Focus List decreased by 19%. </w:t>
            </w:r>
          </w:p>
          <w:p w:rsidR="003F72CA" w:rsidRPr="003F72CA" w:rsidRDefault="003F72CA" w:rsidP="00A27809">
            <w:pPr>
              <w:autoSpaceDE w:val="0"/>
              <w:autoSpaceDN w:val="0"/>
              <w:adjustRightInd w:val="0"/>
              <w:spacing w:after="0" w:line="240" w:lineRule="auto"/>
              <w:rPr>
                <w:rFonts w:eastAsia="ArialMT" w:cs="ArialMT"/>
                <w:lang w:eastAsia="en-US"/>
              </w:rPr>
            </w:pPr>
            <w:r w:rsidRPr="003F72CA">
              <w:rPr>
                <w:rFonts w:eastAsia="ArialMT" w:cs="ArialMT"/>
                <w:lang w:eastAsia="en-US"/>
              </w:rPr>
              <w:t>Average attendance for the Year 9 Focus List decreased by 1%.</w:t>
            </w:r>
          </w:p>
          <w:p w:rsidR="00A27809" w:rsidRPr="003F72CA" w:rsidRDefault="003F72CA" w:rsidP="00A27809">
            <w:pPr>
              <w:autoSpaceDE w:val="0"/>
              <w:autoSpaceDN w:val="0"/>
              <w:adjustRightInd w:val="0"/>
              <w:spacing w:after="0" w:line="240" w:lineRule="auto"/>
              <w:rPr>
                <w:rFonts w:eastAsia="ArialMT"/>
                <w:lang w:eastAsia="en-US"/>
              </w:rPr>
            </w:pPr>
            <w:r w:rsidRPr="003F72CA">
              <w:rPr>
                <w:rFonts w:eastAsia="ArialMT" w:cs="ArialMT"/>
                <w:lang w:eastAsia="en-US"/>
              </w:rPr>
              <w:t xml:space="preserve">Average attendance for the Year 11 Focus List decreased by 2%. </w:t>
            </w:r>
          </w:p>
          <w:p w:rsidR="003F72CA" w:rsidRPr="003F72CA" w:rsidRDefault="00A27809" w:rsidP="003F72CA">
            <w:pPr>
              <w:pStyle w:val="NoSpacing"/>
              <w:rPr>
                <w:rFonts w:eastAsia="ArialMT"/>
                <w:lang w:eastAsia="en-US"/>
              </w:rPr>
            </w:pPr>
            <w:r>
              <w:rPr>
                <w:rFonts w:eastAsia="ArialMT"/>
                <w:lang w:eastAsia="en-US"/>
              </w:rPr>
              <w:t>Average number of minutes late to lesson for the whole focus list decreased by 42%</w:t>
            </w:r>
          </w:p>
        </w:tc>
      </w:tr>
      <w:tr w:rsidR="002C347E">
        <w:trPr>
          <w:trHeight w:val="300"/>
        </w:trPr>
        <w:tc>
          <w:tcPr>
            <w:tcW w:w="5807" w:type="dxa"/>
            <w:tcBorders>
              <w:top w:val="single" w:sz="4" w:space="0" w:color="auto"/>
              <w:left w:val="single" w:sz="4" w:space="0" w:color="auto"/>
              <w:bottom w:val="single" w:sz="4" w:space="0" w:color="auto"/>
              <w:right w:val="nil"/>
            </w:tcBorders>
            <w:shd w:val="clear" w:color="auto" w:fill="auto"/>
            <w:noWrap/>
          </w:tcPr>
          <w:p w:rsidR="002C347E" w:rsidRDefault="006848E8">
            <w:pPr>
              <w:spacing w:after="0" w:line="240" w:lineRule="auto"/>
              <w:rPr>
                <w:rFonts w:eastAsia="Times New Roman" w:cs="Arial"/>
                <w:color w:val="000000"/>
              </w:rPr>
            </w:pPr>
            <w:r>
              <w:rPr>
                <w:rFonts w:eastAsia="Times New Roman" w:cs="Arial"/>
                <w:color w:val="000000"/>
              </w:rPr>
              <w:t xml:space="preserve">Youth engagement work.  After school activity with over 50% PP participation on a weekly basis.  </w:t>
            </w:r>
          </w:p>
        </w:tc>
        <w:tc>
          <w:tcPr>
            <w:tcW w:w="992" w:type="dxa"/>
            <w:tcBorders>
              <w:top w:val="nil"/>
              <w:left w:val="single" w:sz="4" w:space="0" w:color="auto"/>
              <w:bottom w:val="single" w:sz="4" w:space="0" w:color="auto"/>
              <w:right w:val="single" w:sz="4" w:space="0" w:color="auto"/>
            </w:tcBorders>
            <w:shd w:val="clear" w:color="auto" w:fill="auto"/>
          </w:tcPr>
          <w:p w:rsidR="002C347E" w:rsidRDefault="006848E8">
            <w:pPr>
              <w:spacing w:after="0" w:line="240" w:lineRule="auto"/>
              <w:jc w:val="center"/>
              <w:rPr>
                <w:rFonts w:eastAsia="Times New Roman" w:cs="Arial"/>
                <w:color w:val="000000"/>
              </w:rPr>
            </w:pPr>
            <w:r>
              <w:rPr>
                <w:rFonts w:eastAsia="Times New Roman" w:cs="Arial"/>
                <w:color w:val="000000"/>
              </w:rPr>
              <w:t>3333</w:t>
            </w:r>
          </w:p>
        </w:tc>
        <w:tc>
          <w:tcPr>
            <w:tcW w:w="7721" w:type="dxa"/>
            <w:tcBorders>
              <w:top w:val="nil"/>
              <w:left w:val="nil"/>
              <w:bottom w:val="single" w:sz="4" w:space="0" w:color="auto"/>
              <w:right w:val="single" w:sz="4" w:space="0" w:color="auto"/>
            </w:tcBorders>
            <w:shd w:val="clear" w:color="auto" w:fill="auto"/>
          </w:tcPr>
          <w:p w:rsidR="002C347E" w:rsidRDefault="006A0512" w:rsidP="006A0512">
            <w:pPr>
              <w:spacing w:after="0" w:line="240" w:lineRule="auto"/>
              <w:rPr>
                <w:rFonts w:eastAsia="Times New Roman" w:cs="Arial"/>
                <w:color w:val="000000"/>
              </w:rPr>
            </w:pPr>
            <w:r>
              <w:rPr>
                <w:rFonts w:eastAsia="Times New Roman" w:cs="Arial"/>
                <w:color w:val="000000"/>
              </w:rPr>
              <w:t>The youth engagement project supported the improvement of a</w:t>
            </w:r>
            <w:r w:rsidR="006848E8">
              <w:rPr>
                <w:rFonts w:eastAsia="Times New Roman" w:cs="Arial"/>
                <w:color w:val="000000"/>
              </w:rPr>
              <w:t>ttendance to the aca</w:t>
            </w:r>
            <w:r>
              <w:rPr>
                <w:rFonts w:eastAsia="Times New Roman" w:cs="Arial"/>
                <w:color w:val="000000"/>
              </w:rPr>
              <w:t xml:space="preserve">demy for Pupil Premium students.  Average Pupil Premium attendance to the academy was </w:t>
            </w:r>
            <w:r w:rsidR="006848E8">
              <w:rPr>
                <w:rFonts w:eastAsia="Times New Roman" w:cs="Arial"/>
                <w:color w:val="000000"/>
              </w:rPr>
              <w:t>91.57% compared to 95.98 for their non-Pupil Premium peers.</w:t>
            </w:r>
          </w:p>
        </w:tc>
      </w:tr>
      <w:tr w:rsidR="002C347E">
        <w:trPr>
          <w:trHeight w:val="300"/>
        </w:trPr>
        <w:tc>
          <w:tcPr>
            <w:tcW w:w="5807" w:type="dxa"/>
            <w:tcBorders>
              <w:top w:val="single" w:sz="4" w:space="0" w:color="auto"/>
              <w:left w:val="single" w:sz="4" w:space="0" w:color="auto"/>
              <w:bottom w:val="single" w:sz="4" w:space="0" w:color="auto"/>
              <w:right w:val="nil"/>
            </w:tcBorders>
            <w:shd w:val="clear" w:color="auto" w:fill="auto"/>
            <w:noWrap/>
          </w:tcPr>
          <w:p w:rsidR="002C347E" w:rsidRDefault="006848E8">
            <w:pPr>
              <w:spacing w:after="0" w:line="240" w:lineRule="auto"/>
              <w:rPr>
                <w:rFonts w:eastAsia="Times New Roman" w:cs="Arial"/>
                <w:color w:val="000000"/>
              </w:rPr>
            </w:pPr>
            <w:r>
              <w:rPr>
                <w:rFonts w:eastAsia="Times New Roman" w:cs="Arial"/>
                <w:color w:val="000000"/>
              </w:rPr>
              <w:t xml:space="preserve">Stretch and challenge workshops targeting Pupil Premium students.  </w:t>
            </w:r>
          </w:p>
        </w:tc>
        <w:tc>
          <w:tcPr>
            <w:tcW w:w="992" w:type="dxa"/>
            <w:tcBorders>
              <w:top w:val="nil"/>
              <w:left w:val="single" w:sz="4" w:space="0" w:color="auto"/>
              <w:bottom w:val="single" w:sz="4" w:space="0" w:color="auto"/>
              <w:right w:val="single" w:sz="4" w:space="0" w:color="auto"/>
            </w:tcBorders>
            <w:shd w:val="clear" w:color="auto" w:fill="auto"/>
          </w:tcPr>
          <w:p w:rsidR="002C347E" w:rsidRDefault="006848E8">
            <w:pPr>
              <w:spacing w:after="0" w:line="240" w:lineRule="auto"/>
              <w:jc w:val="center"/>
              <w:rPr>
                <w:rFonts w:eastAsia="Times New Roman" w:cs="Arial"/>
                <w:color w:val="000000"/>
              </w:rPr>
            </w:pPr>
            <w:r>
              <w:rPr>
                <w:rFonts w:eastAsia="Times New Roman" w:cs="Arial"/>
                <w:color w:val="000000"/>
              </w:rPr>
              <w:t>1250</w:t>
            </w:r>
          </w:p>
        </w:tc>
        <w:tc>
          <w:tcPr>
            <w:tcW w:w="7721" w:type="dxa"/>
            <w:tcBorders>
              <w:top w:val="nil"/>
              <w:left w:val="nil"/>
              <w:bottom w:val="single" w:sz="4" w:space="0" w:color="auto"/>
              <w:right w:val="single" w:sz="4" w:space="0" w:color="auto"/>
            </w:tcBorders>
            <w:shd w:val="clear" w:color="auto" w:fill="auto"/>
          </w:tcPr>
          <w:p w:rsidR="002720F2" w:rsidRDefault="002720F2">
            <w:pPr>
              <w:pStyle w:val="NoSpacing"/>
              <w:rPr>
                <w:rFonts w:eastAsia="Times New Roman"/>
              </w:rPr>
            </w:pPr>
            <w:r>
              <w:rPr>
                <w:rFonts w:eastAsia="Times New Roman"/>
              </w:rPr>
              <w:t xml:space="preserve">3% of the whole cohort achieved 7-9 in English and Maths </w:t>
            </w:r>
          </w:p>
          <w:p w:rsidR="002720F2" w:rsidRDefault="006A0512">
            <w:pPr>
              <w:pStyle w:val="NoSpacing"/>
              <w:rPr>
                <w:rFonts w:eastAsia="Times New Roman"/>
              </w:rPr>
            </w:pPr>
            <w:r>
              <w:rPr>
                <w:rFonts w:eastAsia="Times New Roman"/>
              </w:rPr>
              <w:t>1 Pupil P</w:t>
            </w:r>
            <w:r w:rsidR="002720F2">
              <w:rPr>
                <w:rFonts w:eastAsia="Times New Roman"/>
              </w:rPr>
              <w:t>remium student achieved 7-9 in English and Maths</w:t>
            </w:r>
          </w:p>
          <w:p w:rsidR="002C347E" w:rsidRDefault="002720F2">
            <w:pPr>
              <w:pStyle w:val="NoSpacing"/>
              <w:rPr>
                <w:rFonts w:eastAsia="Times New Roman"/>
              </w:rPr>
            </w:pPr>
            <w:r>
              <w:rPr>
                <w:rFonts w:eastAsia="Times New Roman"/>
              </w:rPr>
              <w:t>50</w:t>
            </w:r>
            <w:r w:rsidR="006848E8">
              <w:rPr>
                <w:rFonts w:eastAsia="Times New Roman"/>
              </w:rPr>
              <w:t>% of Upper ability Pupil</w:t>
            </w:r>
            <w:r>
              <w:rPr>
                <w:rFonts w:eastAsia="Times New Roman"/>
              </w:rPr>
              <w:t xml:space="preserve"> Premium students achieved a 7-9</w:t>
            </w:r>
            <w:r w:rsidR="006848E8">
              <w:rPr>
                <w:rFonts w:eastAsia="Times New Roman"/>
              </w:rPr>
              <w:t xml:space="preserve"> in English. </w:t>
            </w:r>
          </w:p>
          <w:p w:rsidR="002C347E" w:rsidRDefault="002720F2">
            <w:pPr>
              <w:spacing w:after="0" w:line="240" w:lineRule="auto"/>
              <w:rPr>
                <w:rFonts w:eastAsia="Times New Roman" w:cs="Arial"/>
                <w:color w:val="000000"/>
              </w:rPr>
            </w:pPr>
            <w:r>
              <w:rPr>
                <w:rFonts w:eastAsia="Times New Roman"/>
              </w:rPr>
              <w:t>25</w:t>
            </w:r>
            <w:r w:rsidR="006848E8">
              <w:rPr>
                <w:rFonts w:eastAsia="Times New Roman"/>
              </w:rPr>
              <w:t>% of Upper ability Pup</w:t>
            </w:r>
            <w:r>
              <w:rPr>
                <w:rFonts w:eastAsia="Times New Roman"/>
              </w:rPr>
              <w:t>il Premium students achieved 7-9</w:t>
            </w:r>
            <w:r w:rsidR="006848E8">
              <w:rPr>
                <w:rFonts w:eastAsia="Times New Roman"/>
              </w:rPr>
              <w:t xml:space="preserve"> in Maths.</w:t>
            </w:r>
          </w:p>
        </w:tc>
      </w:tr>
      <w:tr w:rsidR="002C347E">
        <w:trPr>
          <w:trHeight w:val="385"/>
        </w:trPr>
        <w:tc>
          <w:tcPr>
            <w:tcW w:w="5807" w:type="dxa"/>
            <w:tcBorders>
              <w:top w:val="single" w:sz="4" w:space="0" w:color="auto"/>
              <w:left w:val="single" w:sz="4" w:space="0" w:color="auto"/>
              <w:bottom w:val="single" w:sz="4" w:space="0" w:color="auto"/>
              <w:right w:val="single" w:sz="4" w:space="0" w:color="auto"/>
            </w:tcBorders>
            <w:shd w:val="clear" w:color="auto" w:fill="92D050"/>
            <w:noWrap/>
            <w:hideMark/>
          </w:tcPr>
          <w:p w:rsidR="002C347E" w:rsidRDefault="006848E8">
            <w:pPr>
              <w:spacing w:after="0" w:line="240" w:lineRule="auto"/>
              <w:rPr>
                <w:rFonts w:eastAsia="Times New Roman" w:cs="Arial"/>
                <w:b/>
                <w:bCs/>
                <w:color w:val="000000"/>
              </w:rPr>
            </w:pPr>
            <w:r>
              <w:rPr>
                <w:rFonts w:eastAsia="Times New Roman" w:cs="Arial"/>
                <w:b/>
                <w:bCs/>
                <w:color w:val="000000"/>
              </w:rPr>
              <w:t>Total PP Spend</w:t>
            </w:r>
          </w:p>
        </w:tc>
        <w:tc>
          <w:tcPr>
            <w:tcW w:w="992" w:type="dxa"/>
            <w:tcBorders>
              <w:top w:val="nil"/>
              <w:left w:val="nil"/>
              <w:bottom w:val="single" w:sz="4" w:space="0" w:color="auto"/>
              <w:right w:val="single" w:sz="4" w:space="0" w:color="auto"/>
            </w:tcBorders>
            <w:shd w:val="clear" w:color="auto" w:fill="92D050"/>
            <w:hideMark/>
          </w:tcPr>
          <w:p w:rsidR="002C347E" w:rsidRDefault="006848E8">
            <w:pPr>
              <w:spacing w:after="0" w:line="240" w:lineRule="auto"/>
              <w:jc w:val="center"/>
              <w:rPr>
                <w:rFonts w:eastAsia="Times New Roman" w:cs="Arial"/>
                <w:b/>
                <w:bCs/>
                <w:color w:val="000000"/>
              </w:rPr>
            </w:pPr>
            <w:r>
              <w:rPr>
                <w:rFonts w:eastAsia="Times New Roman" w:cs="Arial"/>
                <w:b/>
                <w:bCs/>
                <w:color w:val="000000"/>
              </w:rPr>
              <w:t>333 170</w:t>
            </w:r>
          </w:p>
        </w:tc>
        <w:tc>
          <w:tcPr>
            <w:tcW w:w="7721" w:type="dxa"/>
            <w:tcBorders>
              <w:top w:val="nil"/>
              <w:left w:val="nil"/>
              <w:bottom w:val="single" w:sz="4" w:space="0" w:color="auto"/>
              <w:right w:val="single" w:sz="4" w:space="0" w:color="auto"/>
            </w:tcBorders>
            <w:shd w:val="clear" w:color="auto" w:fill="92D050"/>
            <w:hideMark/>
          </w:tcPr>
          <w:p w:rsidR="002C347E" w:rsidRDefault="006848E8">
            <w:pPr>
              <w:spacing w:after="0" w:line="240" w:lineRule="auto"/>
              <w:rPr>
                <w:rFonts w:eastAsia="Times New Roman" w:cs="Arial"/>
                <w:b/>
                <w:bCs/>
                <w:color w:val="000000"/>
              </w:rPr>
            </w:pPr>
            <w:r>
              <w:rPr>
                <w:rFonts w:eastAsia="Times New Roman" w:cs="Arial"/>
                <w:b/>
                <w:bCs/>
                <w:color w:val="000000"/>
              </w:rPr>
              <w:t> </w:t>
            </w:r>
          </w:p>
        </w:tc>
      </w:tr>
    </w:tbl>
    <w:p w:rsidR="002C347E" w:rsidRDefault="006848E8">
      <w:pPr>
        <w:autoSpaceDE w:val="0"/>
        <w:autoSpaceDN w:val="0"/>
        <w:adjustRightInd w:val="0"/>
        <w:spacing w:after="0" w:line="240" w:lineRule="auto"/>
        <w:rPr>
          <w:rFonts w:eastAsiaTheme="minorHAnsi" w:cs="Arial"/>
          <w:color w:val="000000"/>
          <w:lang w:eastAsia="en-US"/>
        </w:rPr>
      </w:pPr>
      <w:r>
        <w:rPr>
          <w:noProof/>
        </w:rPr>
        <w:drawing>
          <wp:anchor distT="0" distB="0" distL="114300" distR="114300" simplePos="0" relativeHeight="251666432" behindDoc="1" locked="0" layoutInCell="1" allowOverlap="1">
            <wp:simplePos x="0" y="0"/>
            <wp:positionH relativeFrom="margin">
              <wp:posOffset>152400</wp:posOffset>
            </wp:positionH>
            <wp:positionV relativeFrom="paragraph">
              <wp:posOffset>714375</wp:posOffset>
            </wp:positionV>
            <wp:extent cx="8863330" cy="1918365"/>
            <wp:effectExtent l="0" t="0" r="0" b="5715"/>
            <wp:wrapTight wrapText="bothSides">
              <wp:wrapPolygon edited="0">
                <wp:start x="0" y="0"/>
                <wp:lineTo x="0" y="21450"/>
                <wp:lineTo x="20334" y="21450"/>
                <wp:lineTo x="20334" y="20592"/>
                <wp:lineTo x="21495" y="19734"/>
                <wp:lineTo x="21541" y="19519"/>
                <wp:lineTo x="21123" y="17160"/>
                <wp:lineTo x="21541" y="14157"/>
                <wp:lineTo x="21541" y="13942"/>
                <wp:lineTo x="20845" y="13728"/>
                <wp:lineTo x="21495" y="11797"/>
                <wp:lineTo x="21355" y="6864"/>
                <wp:lineTo x="21541" y="3432"/>
                <wp:lineTo x="18663" y="3432"/>
                <wp:lineTo x="21541" y="1930"/>
                <wp:lineTo x="215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3330" cy="191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47E" w:rsidRPr="00055671" w:rsidRDefault="006848E8" w:rsidP="00055671">
      <w:pPr>
        <w:spacing w:line="240" w:lineRule="auto"/>
      </w:pPr>
      <w:r>
        <w:rPr>
          <w:b/>
        </w:rPr>
        <w:t>Historical Data</w:t>
      </w:r>
    </w:p>
    <w:sectPr w:rsidR="002C347E" w:rsidRPr="0005567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57D" w:rsidRDefault="007A757D">
      <w:pPr>
        <w:spacing w:after="0" w:line="240" w:lineRule="auto"/>
      </w:pPr>
      <w:r>
        <w:separator/>
      </w:r>
    </w:p>
  </w:endnote>
  <w:endnote w:type="continuationSeparator" w:id="0">
    <w:p w:rsidR="007A757D" w:rsidRDefault="007A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57D" w:rsidRDefault="007A757D">
      <w:pPr>
        <w:spacing w:after="0" w:line="240" w:lineRule="auto"/>
      </w:pPr>
      <w:r>
        <w:separator/>
      </w:r>
    </w:p>
  </w:footnote>
  <w:footnote w:type="continuationSeparator" w:id="0">
    <w:p w:rsidR="007A757D" w:rsidRDefault="007A7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47E" w:rsidRDefault="006848E8">
    <w:pPr>
      <w:pStyle w:val="Header"/>
    </w:pPr>
    <w:r>
      <w:rPr>
        <w:noProof/>
      </w:rPr>
      <w:drawing>
        <wp:anchor distT="0" distB="0" distL="114300" distR="114300" simplePos="0" relativeHeight="251661312" behindDoc="1" locked="0" layoutInCell="1" allowOverlap="1" wp14:anchorId="4EC9C94B" wp14:editId="2E3C1019">
          <wp:simplePos x="0" y="0"/>
          <wp:positionH relativeFrom="page">
            <wp:posOffset>8678355</wp:posOffset>
          </wp:positionH>
          <wp:positionV relativeFrom="paragraph">
            <wp:posOffset>-340995</wp:posOffset>
          </wp:positionV>
          <wp:extent cx="1913890" cy="723265"/>
          <wp:effectExtent l="0" t="0" r="0" b="635"/>
          <wp:wrapThrough wrapText="bothSides">
            <wp:wrapPolygon edited="0">
              <wp:start x="0" y="0"/>
              <wp:lineTo x="0" y="21050"/>
              <wp:lineTo x="21285" y="21050"/>
              <wp:lineTo x="2128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89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1425E5B" wp14:editId="7A2AA9A3">
          <wp:simplePos x="0" y="0"/>
          <wp:positionH relativeFrom="column">
            <wp:posOffset>-819150</wp:posOffset>
          </wp:positionH>
          <wp:positionV relativeFrom="paragraph">
            <wp:posOffset>-462090</wp:posOffset>
          </wp:positionV>
          <wp:extent cx="2392045" cy="925195"/>
          <wp:effectExtent l="0" t="0" r="8255" b="8255"/>
          <wp:wrapThrough wrapText="bothSides">
            <wp:wrapPolygon edited="0">
              <wp:start x="0" y="0"/>
              <wp:lineTo x="0" y="21348"/>
              <wp:lineTo x="21503" y="21348"/>
              <wp:lineTo x="2150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33096" t="25000" r="19603" b="53030"/>
                  <a:stretch>
                    <a:fillRect/>
                  </a:stretch>
                </pic:blipFill>
                <pic:spPr bwMode="auto">
                  <a:xfrm>
                    <a:off x="0" y="0"/>
                    <a:ext cx="2392045" cy="925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6453"/>
    <w:multiLevelType w:val="hybridMultilevel"/>
    <w:tmpl w:val="10C8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D8271C"/>
    <w:multiLevelType w:val="hybridMultilevel"/>
    <w:tmpl w:val="41C81544"/>
    <w:lvl w:ilvl="0" w:tplc="08090001">
      <w:start w:val="1"/>
      <w:numFmt w:val="bullet"/>
      <w:lvlText w:val=""/>
      <w:lvlJc w:val="left"/>
      <w:pPr>
        <w:ind w:left="-244" w:hanging="360"/>
      </w:pPr>
      <w:rPr>
        <w:rFonts w:ascii="Symbol" w:hAnsi="Symbol" w:hint="default"/>
      </w:rPr>
    </w:lvl>
    <w:lvl w:ilvl="1" w:tplc="08090003" w:tentative="1">
      <w:start w:val="1"/>
      <w:numFmt w:val="bullet"/>
      <w:lvlText w:val="o"/>
      <w:lvlJc w:val="left"/>
      <w:pPr>
        <w:ind w:left="476" w:hanging="360"/>
      </w:pPr>
      <w:rPr>
        <w:rFonts w:ascii="Courier New" w:hAnsi="Courier New" w:cs="Courier New" w:hint="default"/>
      </w:rPr>
    </w:lvl>
    <w:lvl w:ilvl="2" w:tplc="08090005" w:tentative="1">
      <w:start w:val="1"/>
      <w:numFmt w:val="bullet"/>
      <w:lvlText w:val=""/>
      <w:lvlJc w:val="left"/>
      <w:pPr>
        <w:ind w:left="1196" w:hanging="360"/>
      </w:pPr>
      <w:rPr>
        <w:rFonts w:ascii="Wingdings" w:hAnsi="Wingdings" w:hint="default"/>
      </w:rPr>
    </w:lvl>
    <w:lvl w:ilvl="3" w:tplc="08090001" w:tentative="1">
      <w:start w:val="1"/>
      <w:numFmt w:val="bullet"/>
      <w:lvlText w:val=""/>
      <w:lvlJc w:val="left"/>
      <w:pPr>
        <w:ind w:left="1916" w:hanging="360"/>
      </w:pPr>
      <w:rPr>
        <w:rFonts w:ascii="Symbol" w:hAnsi="Symbol" w:hint="default"/>
      </w:rPr>
    </w:lvl>
    <w:lvl w:ilvl="4" w:tplc="08090003" w:tentative="1">
      <w:start w:val="1"/>
      <w:numFmt w:val="bullet"/>
      <w:lvlText w:val="o"/>
      <w:lvlJc w:val="left"/>
      <w:pPr>
        <w:ind w:left="2636" w:hanging="360"/>
      </w:pPr>
      <w:rPr>
        <w:rFonts w:ascii="Courier New" w:hAnsi="Courier New" w:cs="Courier New" w:hint="default"/>
      </w:rPr>
    </w:lvl>
    <w:lvl w:ilvl="5" w:tplc="08090005" w:tentative="1">
      <w:start w:val="1"/>
      <w:numFmt w:val="bullet"/>
      <w:lvlText w:val=""/>
      <w:lvlJc w:val="left"/>
      <w:pPr>
        <w:ind w:left="3356" w:hanging="360"/>
      </w:pPr>
      <w:rPr>
        <w:rFonts w:ascii="Wingdings" w:hAnsi="Wingdings" w:hint="default"/>
      </w:rPr>
    </w:lvl>
    <w:lvl w:ilvl="6" w:tplc="08090001" w:tentative="1">
      <w:start w:val="1"/>
      <w:numFmt w:val="bullet"/>
      <w:lvlText w:val=""/>
      <w:lvlJc w:val="left"/>
      <w:pPr>
        <w:ind w:left="4076" w:hanging="360"/>
      </w:pPr>
      <w:rPr>
        <w:rFonts w:ascii="Symbol" w:hAnsi="Symbol" w:hint="default"/>
      </w:rPr>
    </w:lvl>
    <w:lvl w:ilvl="7" w:tplc="08090003" w:tentative="1">
      <w:start w:val="1"/>
      <w:numFmt w:val="bullet"/>
      <w:lvlText w:val="o"/>
      <w:lvlJc w:val="left"/>
      <w:pPr>
        <w:ind w:left="4796" w:hanging="360"/>
      </w:pPr>
      <w:rPr>
        <w:rFonts w:ascii="Courier New" w:hAnsi="Courier New" w:cs="Courier New" w:hint="default"/>
      </w:rPr>
    </w:lvl>
    <w:lvl w:ilvl="8" w:tplc="08090005" w:tentative="1">
      <w:start w:val="1"/>
      <w:numFmt w:val="bullet"/>
      <w:lvlText w:val=""/>
      <w:lvlJc w:val="left"/>
      <w:pPr>
        <w:ind w:left="5516" w:hanging="360"/>
      </w:pPr>
      <w:rPr>
        <w:rFonts w:ascii="Wingdings" w:hAnsi="Wingdings" w:hint="default"/>
      </w:rPr>
    </w:lvl>
  </w:abstractNum>
  <w:abstractNum w:abstractNumId="2" w15:restartNumberingAfterBreak="0">
    <w:nsid w:val="63494237"/>
    <w:multiLevelType w:val="hybridMultilevel"/>
    <w:tmpl w:val="068456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7E"/>
    <w:rsid w:val="00055671"/>
    <w:rsid w:val="00084997"/>
    <w:rsid w:val="00097070"/>
    <w:rsid w:val="000B4A30"/>
    <w:rsid w:val="000E16C8"/>
    <w:rsid w:val="001254F8"/>
    <w:rsid w:val="001A0C74"/>
    <w:rsid w:val="001C3FA6"/>
    <w:rsid w:val="002720F2"/>
    <w:rsid w:val="002B717E"/>
    <w:rsid w:val="002C347E"/>
    <w:rsid w:val="002F5CD0"/>
    <w:rsid w:val="00332100"/>
    <w:rsid w:val="00372CA4"/>
    <w:rsid w:val="003F72CA"/>
    <w:rsid w:val="00450FC5"/>
    <w:rsid w:val="004835FF"/>
    <w:rsid w:val="005D1136"/>
    <w:rsid w:val="006848E8"/>
    <w:rsid w:val="006A0512"/>
    <w:rsid w:val="006B2CF0"/>
    <w:rsid w:val="007851E1"/>
    <w:rsid w:val="007A757D"/>
    <w:rsid w:val="008031E6"/>
    <w:rsid w:val="008211A6"/>
    <w:rsid w:val="00A27809"/>
    <w:rsid w:val="00BB500A"/>
    <w:rsid w:val="00BE3329"/>
    <w:rsid w:val="00CF18E0"/>
    <w:rsid w:val="00E51CAF"/>
    <w:rsid w:val="00F55306"/>
    <w:rsid w:val="00F64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099874B-1D66-483E-85E0-95C3D636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imes New Roman"/>
      <w:b/>
      <w:bCs/>
      <w:kern w:val="28"/>
      <w:sz w:val="32"/>
      <w:szCs w:val="32"/>
      <w:lang w:eastAsia="en-GB"/>
    </w:rPr>
  </w:style>
  <w:style w:type="character" w:styleId="Emphasis">
    <w:name w:val="Emphasis"/>
    <w:basedOn w:val="DefaultParagraphFont"/>
    <w:uiPriority w:val="20"/>
    <w:qFormat/>
    <w:rPr>
      <w:rFonts w:cs="Times New Roman"/>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Theme="minorEastAsia" w:cs="Times New Roman"/>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EastAsia" w:cs="Times New Roman"/>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rPr>
      <w:rFonts w:eastAsiaTheme="minorEastAsia" w:cs="Times New Roman"/>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F7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0332">
      <w:bodyDiv w:val="1"/>
      <w:marLeft w:val="0"/>
      <w:marRight w:val="0"/>
      <w:marTop w:val="0"/>
      <w:marBottom w:val="0"/>
      <w:divBdr>
        <w:top w:val="none" w:sz="0" w:space="0" w:color="auto"/>
        <w:left w:val="none" w:sz="0" w:space="0" w:color="auto"/>
        <w:bottom w:val="none" w:sz="0" w:space="0" w:color="auto"/>
        <w:right w:val="none" w:sz="0" w:space="0" w:color="auto"/>
      </w:divBdr>
    </w:div>
    <w:div w:id="69232123">
      <w:bodyDiv w:val="1"/>
      <w:marLeft w:val="0"/>
      <w:marRight w:val="0"/>
      <w:marTop w:val="0"/>
      <w:marBottom w:val="0"/>
      <w:divBdr>
        <w:top w:val="none" w:sz="0" w:space="0" w:color="auto"/>
        <w:left w:val="none" w:sz="0" w:space="0" w:color="auto"/>
        <w:bottom w:val="none" w:sz="0" w:space="0" w:color="auto"/>
        <w:right w:val="none" w:sz="0" w:space="0" w:color="auto"/>
      </w:divBdr>
    </w:div>
    <w:div w:id="75253931">
      <w:bodyDiv w:val="1"/>
      <w:marLeft w:val="0"/>
      <w:marRight w:val="0"/>
      <w:marTop w:val="0"/>
      <w:marBottom w:val="0"/>
      <w:divBdr>
        <w:top w:val="none" w:sz="0" w:space="0" w:color="auto"/>
        <w:left w:val="none" w:sz="0" w:space="0" w:color="auto"/>
        <w:bottom w:val="none" w:sz="0" w:space="0" w:color="auto"/>
        <w:right w:val="none" w:sz="0" w:space="0" w:color="auto"/>
      </w:divBdr>
    </w:div>
    <w:div w:id="75638133">
      <w:bodyDiv w:val="1"/>
      <w:marLeft w:val="0"/>
      <w:marRight w:val="0"/>
      <w:marTop w:val="0"/>
      <w:marBottom w:val="0"/>
      <w:divBdr>
        <w:top w:val="none" w:sz="0" w:space="0" w:color="auto"/>
        <w:left w:val="none" w:sz="0" w:space="0" w:color="auto"/>
        <w:bottom w:val="none" w:sz="0" w:space="0" w:color="auto"/>
        <w:right w:val="none" w:sz="0" w:space="0" w:color="auto"/>
      </w:divBdr>
    </w:div>
    <w:div w:id="146749134">
      <w:bodyDiv w:val="1"/>
      <w:marLeft w:val="0"/>
      <w:marRight w:val="0"/>
      <w:marTop w:val="0"/>
      <w:marBottom w:val="0"/>
      <w:divBdr>
        <w:top w:val="none" w:sz="0" w:space="0" w:color="auto"/>
        <w:left w:val="none" w:sz="0" w:space="0" w:color="auto"/>
        <w:bottom w:val="none" w:sz="0" w:space="0" w:color="auto"/>
        <w:right w:val="none" w:sz="0" w:space="0" w:color="auto"/>
      </w:divBdr>
    </w:div>
    <w:div w:id="178854192">
      <w:bodyDiv w:val="1"/>
      <w:marLeft w:val="0"/>
      <w:marRight w:val="0"/>
      <w:marTop w:val="0"/>
      <w:marBottom w:val="0"/>
      <w:divBdr>
        <w:top w:val="none" w:sz="0" w:space="0" w:color="auto"/>
        <w:left w:val="none" w:sz="0" w:space="0" w:color="auto"/>
        <w:bottom w:val="none" w:sz="0" w:space="0" w:color="auto"/>
        <w:right w:val="none" w:sz="0" w:space="0" w:color="auto"/>
      </w:divBdr>
    </w:div>
    <w:div w:id="202407410">
      <w:bodyDiv w:val="1"/>
      <w:marLeft w:val="0"/>
      <w:marRight w:val="0"/>
      <w:marTop w:val="0"/>
      <w:marBottom w:val="0"/>
      <w:divBdr>
        <w:top w:val="none" w:sz="0" w:space="0" w:color="auto"/>
        <w:left w:val="none" w:sz="0" w:space="0" w:color="auto"/>
        <w:bottom w:val="none" w:sz="0" w:space="0" w:color="auto"/>
        <w:right w:val="none" w:sz="0" w:space="0" w:color="auto"/>
      </w:divBdr>
    </w:div>
    <w:div w:id="279144878">
      <w:bodyDiv w:val="1"/>
      <w:marLeft w:val="0"/>
      <w:marRight w:val="0"/>
      <w:marTop w:val="0"/>
      <w:marBottom w:val="0"/>
      <w:divBdr>
        <w:top w:val="none" w:sz="0" w:space="0" w:color="auto"/>
        <w:left w:val="none" w:sz="0" w:space="0" w:color="auto"/>
        <w:bottom w:val="none" w:sz="0" w:space="0" w:color="auto"/>
        <w:right w:val="none" w:sz="0" w:space="0" w:color="auto"/>
      </w:divBdr>
    </w:div>
    <w:div w:id="292444805">
      <w:bodyDiv w:val="1"/>
      <w:marLeft w:val="0"/>
      <w:marRight w:val="0"/>
      <w:marTop w:val="0"/>
      <w:marBottom w:val="0"/>
      <w:divBdr>
        <w:top w:val="none" w:sz="0" w:space="0" w:color="auto"/>
        <w:left w:val="none" w:sz="0" w:space="0" w:color="auto"/>
        <w:bottom w:val="none" w:sz="0" w:space="0" w:color="auto"/>
        <w:right w:val="none" w:sz="0" w:space="0" w:color="auto"/>
      </w:divBdr>
    </w:div>
    <w:div w:id="308829127">
      <w:bodyDiv w:val="1"/>
      <w:marLeft w:val="0"/>
      <w:marRight w:val="0"/>
      <w:marTop w:val="0"/>
      <w:marBottom w:val="0"/>
      <w:divBdr>
        <w:top w:val="none" w:sz="0" w:space="0" w:color="auto"/>
        <w:left w:val="none" w:sz="0" w:space="0" w:color="auto"/>
        <w:bottom w:val="none" w:sz="0" w:space="0" w:color="auto"/>
        <w:right w:val="none" w:sz="0" w:space="0" w:color="auto"/>
      </w:divBdr>
    </w:div>
    <w:div w:id="479690017">
      <w:bodyDiv w:val="1"/>
      <w:marLeft w:val="0"/>
      <w:marRight w:val="0"/>
      <w:marTop w:val="0"/>
      <w:marBottom w:val="0"/>
      <w:divBdr>
        <w:top w:val="none" w:sz="0" w:space="0" w:color="auto"/>
        <w:left w:val="none" w:sz="0" w:space="0" w:color="auto"/>
        <w:bottom w:val="none" w:sz="0" w:space="0" w:color="auto"/>
        <w:right w:val="none" w:sz="0" w:space="0" w:color="auto"/>
      </w:divBdr>
    </w:div>
    <w:div w:id="501631246">
      <w:bodyDiv w:val="1"/>
      <w:marLeft w:val="0"/>
      <w:marRight w:val="0"/>
      <w:marTop w:val="0"/>
      <w:marBottom w:val="0"/>
      <w:divBdr>
        <w:top w:val="none" w:sz="0" w:space="0" w:color="auto"/>
        <w:left w:val="none" w:sz="0" w:space="0" w:color="auto"/>
        <w:bottom w:val="none" w:sz="0" w:space="0" w:color="auto"/>
        <w:right w:val="none" w:sz="0" w:space="0" w:color="auto"/>
      </w:divBdr>
    </w:div>
    <w:div w:id="569534931">
      <w:bodyDiv w:val="1"/>
      <w:marLeft w:val="0"/>
      <w:marRight w:val="0"/>
      <w:marTop w:val="0"/>
      <w:marBottom w:val="0"/>
      <w:divBdr>
        <w:top w:val="none" w:sz="0" w:space="0" w:color="auto"/>
        <w:left w:val="none" w:sz="0" w:space="0" w:color="auto"/>
        <w:bottom w:val="none" w:sz="0" w:space="0" w:color="auto"/>
        <w:right w:val="none" w:sz="0" w:space="0" w:color="auto"/>
      </w:divBdr>
    </w:div>
    <w:div w:id="610236574">
      <w:bodyDiv w:val="1"/>
      <w:marLeft w:val="0"/>
      <w:marRight w:val="0"/>
      <w:marTop w:val="0"/>
      <w:marBottom w:val="0"/>
      <w:divBdr>
        <w:top w:val="none" w:sz="0" w:space="0" w:color="auto"/>
        <w:left w:val="none" w:sz="0" w:space="0" w:color="auto"/>
        <w:bottom w:val="none" w:sz="0" w:space="0" w:color="auto"/>
        <w:right w:val="none" w:sz="0" w:space="0" w:color="auto"/>
      </w:divBdr>
    </w:div>
    <w:div w:id="671685584">
      <w:bodyDiv w:val="1"/>
      <w:marLeft w:val="0"/>
      <w:marRight w:val="0"/>
      <w:marTop w:val="0"/>
      <w:marBottom w:val="0"/>
      <w:divBdr>
        <w:top w:val="none" w:sz="0" w:space="0" w:color="auto"/>
        <w:left w:val="none" w:sz="0" w:space="0" w:color="auto"/>
        <w:bottom w:val="none" w:sz="0" w:space="0" w:color="auto"/>
        <w:right w:val="none" w:sz="0" w:space="0" w:color="auto"/>
      </w:divBdr>
    </w:div>
    <w:div w:id="686713808">
      <w:bodyDiv w:val="1"/>
      <w:marLeft w:val="0"/>
      <w:marRight w:val="0"/>
      <w:marTop w:val="0"/>
      <w:marBottom w:val="0"/>
      <w:divBdr>
        <w:top w:val="none" w:sz="0" w:space="0" w:color="auto"/>
        <w:left w:val="none" w:sz="0" w:space="0" w:color="auto"/>
        <w:bottom w:val="none" w:sz="0" w:space="0" w:color="auto"/>
        <w:right w:val="none" w:sz="0" w:space="0" w:color="auto"/>
      </w:divBdr>
    </w:div>
    <w:div w:id="691079693">
      <w:bodyDiv w:val="1"/>
      <w:marLeft w:val="0"/>
      <w:marRight w:val="0"/>
      <w:marTop w:val="0"/>
      <w:marBottom w:val="0"/>
      <w:divBdr>
        <w:top w:val="none" w:sz="0" w:space="0" w:color="auto"/>
        <w:left w:val="none" w:sz="0" w:space="0" w:color="auto"/>
        <w:bottom w:val="none" w:sz="0" w:space="0" w:color="auto"/>
        <w:right w:val="none" w:sz="0" w:space="0" w:color="auto"/>
      </w:divBdr>
    </w:div>
    <w:div w:id="834033653">
      <w:bodyDiv w:val="1"/>
      <w:marLeft w:val="0"/>
      <w:marRight w:val="0"/>
      <w:marTop w:val="0"/>
      <w:marBottom w:val="0"/>
      <w:divBdr>
        <w:top w:val="none" w:sz="0" w:space="0" w:color="auto"/>
        <w:left w:val="none" w:sz="0" w:space="0" w:color="auto"/>
        <w:bottom w:val="none" w:sz="0" w:space="0" w:color="auto"/>
        <w:right w:val="none" w:sz="0" w:space="0" w:color="auto"/>
      </w:divBdr>
    </w:div>
    <w:div w:id="1005938014">
      <w:bodyDiv w:val="1"/>
      <w:marLeft w:val="0"/>
      <w:marRight w:val="0"/>
      <w:marTop w:val="0"/>
      <w:marBottom w:val="0"/>
      <w:divBdr>
        <w:top w:val="none" w:sz="0" w:space="0" w:color="auto"/>
        <w:left w:val="none" w:sz="0" w:space="0" w:color="auto"/>
        <w:bottom w:val="none" w:sz="0" w:space="0" w:color="auto"/>
        <w:right w:val="none" w:sz="0" w:space="0" w:color="auto"/>
      </w:divBdr>
    </w:div>
    <w:div w:id="1211571376">
      <w:bodyDiv w:val="1"/>
      <w:marLeft w:val="0"/>
      <w:marRight w:val="0"/>
      <w:marTop w:val="0"/>
      <w:marBottom w:val="0"/>
      <w:divBdr>
        <w:top w:val="none" w:sz="0" w:space="0" w:color="auto"/>
        <w:left w:val="none" w:sz="0" w:space="0" w:color="auto"/>
        <w:bottom w:val="none" w:sz="0" w:space="0" w:color="auto"/>
        <w:right w:val="none" w:sz="0" w:space="0" w:color="auto"/>
      </w:divBdr>
    </w:div>
    <w:div w:id="1243565773">
      <w:bodyDiv w:val="1"/>
      <w:marLeft w:val="0"/>
      <w:marRight w:val="0"/>
      <w:marTop w:val="0"/>
      <w:marBottom w:val="0"/>
      <w:divBdr>
        <w:top w:val="none" w:sz="0" w:space="0" w:color="auto"/>
        <w:left w:val="none" w:sz="0" w:space="0" w:color="auto"/>
        <w:bottom w:val="none" w:sz="0" w:space="0" w:color="auto"/>
        <w:right w:val="none" w:sz="0" w:space="0" w:color="auto"/>
      </w:divBdr>
    </w:div>
    <w:div w:id="1270164812">
      <w:bodyDiv w:val="1"/>
      <w:marLeft w:val="0"/>
      <w:marRight w:val="0"/>
      <w:marTop w:val="0"/>
      <w:marBottom w:val="0"/>
      <w:divBdr>
        <w:top w:val="none" w:sz="0" w:space="0" w:color="auto"/>
        <w:left w:val="none" w:sz="0" w:space="0" w:color="auto"/>
        <w:bottom w:val="none" w:sz="0" w:space="0" w:color="auto"/>
        <w:right w:val="none" w:sz="0" w:space="0" w:color="auto"/>
      </w:divBdr>
    </w:div>
    <w:div w:id="1273439601">
      <w:bodyDiv w:val="1"/>
      <w:marLeft w:val="0"/>
      <w:marRight w:val="0"/>
      <w:marTop w:val="0"/>
      <w:marBottom w:val="0"/>
      <w:divBdr>
        <w:top w:val="none" w:sz="0" w:space="0" w:color="auto"/>
        <w:left w:val="none" w:sz="0" w:space="0" w:color="auto"/>
        <w:bottom w:val="none" w:sz="0" w:space="0" w:color="auto"/>
        <w:right w:val="none" w:sz="0" w:space="0" w:color="auto"/>
      </w:divBdr>
    </w:div>
    <w:div w:id="1377462616">
      <w:bodyDiv w:val="1"/>
      <w:marLeft w:val="0"/>
      <w:marRight w:val="0"/>
      <w:marTop w:val="0"/>
      <w:marBottom w:val="0"/>
      <w:divBdr>
        <w:top w:val="none" w:sz="0" w:space="0" w:color="auto"/>
        <w:left w:val="none" w:sz="0" w:space="0" w:color="auto"/>
        <w:bottom w:val="none" w:sz="0" w:space="0" w:color="auto"/>
        <w:right w:val="none" w:sz="0" w:space="0" w:color="auto"/>
      </w:divBdr>
    </w:div>
    <w:div w:id="1383939850">
      <w:bodyDiv w:val="1"/>
      <w:marLeft w:val="0"/>
      <w:marRight w:val="0"/>
      <w:marTop w:val="0"/>
      <w:marBottom w:val="0"/>
      <w:divBdr>
        <w:top w:val="none" w:sz="0" w:space="0" w:color="auto"/>
        <w:left w:val="none" w:sz="0" w:space="0" w:color="auto"/>
        <w:bottom w:val="none" w:sz="0" w:space="0" w:color="auto"/>
        <w:right w:val="none" w:sz="0" w:space="0" w:color="auto"/>
      </w:divBdr>
    </w:div>
    <w:div w:id="1390299450">
      <w:bodyDiv w:val="1"/>
      <w:marLeft w:val="0"/>
      <w:marRight w:val="0"/>
      <w:marTop w:val="0"/>
      <w:marBottom w:val="0"/>
      <w:divBdr>
        <w:top w:val="none" w:sz="0" w:space="0" w:color="auto"/>
        <w:left w:val="none" w:sz="0" w:space="0" w:color="auto"/>
        <w:bottom w:val="none" w:sz="0" w:space="0" w:color="auto"/>
        <w:right w:val="none" w:sz="0" w:space="0" w:color="auto"/>
      </w:divBdr>
    </w:div>
    <w:div w:id="1658455822">
      <w:bodyDiv w:val="1"/>
      <w:marLeft w:val="0"/>
      <w:marRight w:val="0"/>
      <w:marTop w:val="0"/>
      <w:marBottom w:val="0"/>
      <w:divBdr>
        <w:top w:val="none" w:sz="0" w:space="0" w:color="auto"/>
        <w:left w:val="none" w:sz="0" w:space="0" w:color="auto"/>
        <w:bottom w:val="none" w:sz="0" w:space="0" w:color="auto"/>
        <w:right w:val="none" w:sz="0" w:space="0" w:color="auto"/>
      </w:divBdr>
    </w:div>
    <w:div w:id="1744790155">
      <w:bodyDiv w:val="1"/>
      <w:marLeft w:val="0"/>
      <w:marRight w:val="0"/>
      <w:marTop w:val="0"/>
      <w:marBottom w:val="0"/>
      <w:divBdr>
        <w:top w:val="none" w:sz="0" w:space="0" w:color="auto"/>
        <w:left w:val="none" w:sz="0" w:space="0" w:color="auto"/>
        <w:bottom w:val="none" w:sz="0" w:space="0" w:color="auto"/>
        <w:right w:val="none" w:sz="0" w:space="0" w:color="auto"/>
      </w:divBdr>
    </w:div>
    <w:div w:id="1891065258">
      <w:bodyDiv w:val="1"/>
      <w:marLeft w:val="0"/>
      <w:marRight w:val="0"/>
      <w:marTop w:val="0"/>
      <w:marBottom w:val="0"/>
      <w:divBdr>
        <w:top w:val="none" w:sz="0" w:space="0" w:color="auto"/>
        <w:left w:val="none" w:sz="0" w:space="0" w:color="auto"/>
        <w:bottom w:val="none" w:sz="0" w:space="0" w:color="auto"/>
        <w:right w:val="none" w:sz="0" w:space="0" w:color="auto"/>
      </w:divBdr>
    </w:div>
    <w:div w:id="1921214331">
      <w:bodyDiv w:val="1"/>
      <w:marLeft w:val="0"/>
      <w:marRight w:val="0"/>
      <w:marTop w:val="0"/>
      <w:marBottom w:val="0"/>
      <w:divBdr>
        <w:top w:val="none" w:sz="0" w:space="0" w:color="auto"/>
        <w:left w:val="none" w:sz="0" w:space="0" w:color="auto"/>
        <w:bottom w:val="none" w:sz="0" w:space="0" w:color="auto"/>
        <w:right w:val="none" w:sz="0" w:space="0" w:color="auto"/>
      </w:divBdr>
    </w:div>
    <w:div w:id="2065444444">
      <w:bodyDiv w:val="1"/>
      <w:marLeft w:val="0"/>
      <w:marRight w:val="0"/>
      <w:marTop w:val="0"/>
      <w:marBottom w:val="0"/>
      <w:divBdr>
        <w:top w:val="none" w:sz="0" w:space="0" w:color="auto"/>
        <w:left w:val="none" w:sz="0" w:space="0" w:color="auto"/>
        <w:bottom w:val="none" w:sz="0" w:space="0" w:color="auto"/>
        <w:right w:val="none" w:sz="0" w:space="0" w:color="auto"/>
      </w:divBdr>
    </w:div>
    <w:div w:id="209415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B7982-5AAD-4E69-82F4-42A487F3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2124</Words>
  <Characters>12113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 Authorised User</dc:creator>
  <cp:lastModifiedBy>K Hollywood</cp:lastModifiedBy>
  <cp:revision>2</cp:revision>
  <dcterms:created xsi:type="dcterms:W3CDTF">2018-01-18T11:46:00Z</dcterms:created>
  <dcterms:modified xsi:type="dcterms:W3CDTF">2018-01-18T11:46:00Z</dcterms:modified>
</cp:coreProperties>
</file>