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A084" w14:textId="77777777" w:rsidR="002D6464" w:rsidRDefault="00B313F1" w:rsidP="0035014E">
      <w:pPr>
        <w:tabs>
          <w:tab w:val="left" w:pos="4820"/>
        </w:tabs>
        <w:spacing w:after="2102" w:line="259" w:lineRule="auto"/>
        <w:ind w:left="-195" w:firstLine="0"/>
        <w:jc w:val="center"/>
      </w:pPr>
      <w:r>
        <w:pict w14:anchorId="19BB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95pt;height:148.8pt">
            <v:imagedata r:id="rId11" o:title="BFET Logo &amp; Vision Statement"/>
          </v:shape>
        </w:pict>
      </w:r>
    </w:p>
    <w:p w14:paraId="4371BEB8" w14:textId="77777777" w:rsidR="00BA3962" w:rsidRDefault="00BA3962" w:rsidP="00BA3962">
      <w:pPr>
        <w:jc w:val="center"/>
        <w:rPr>
          <w:b/>
          <w:color w:val="F79646"/>
          <w:sz w:val="72"/>
          <w:szCs w:val="72"/>
          <w:lang w:val="en-US" w:eastAsia="en-US" w:bidi="en-US"/>
        </w:rPr>
      </w:pPr>
      <w:r>
        <w:rPr>
          <w:b/>
          <w:color w:val="F79646"/>
          <w:sz w:val="72"/>
          <w:szCs w:val="72"/>
          <w:lang w:val="en-US" w:eastAsia="en-US" w:bidi="en-US"/>
        </w:rPr>
        <w:t>Charging and Remissions</w:t>
      </w:r>
    </w:p>
    <w:p w14:paraId="7DAE7FB8" w14:textId="75A47C58" w:rsidR="004D221A" w:rsidRPr="003152F3" w:rsidRDefault="00F611FE" w:rsidP="00BA3962">
      <w:pPr>
        <w:jc w:val="center"/>
        <w:rPr>
          <w:b/>
          <w:color w:val="F79646"/>
          <w:sz w:val="72"/>
          <w:szCs w:val="72"/>
          <w:lang w:val="en-US" w:eastAsia="en-US" w:bidi="en-US"/>
        </w:rPr>
      </w:pPr>
      <w:r>
        <w:rPr>
          <w:b/>
          <w:color w:val="F79646"/>
          <w:sz w:val="72"/>
          <w:szCs w:val="72"/>
          <w:lang w:val="en-US" w:eastAsia="en-US" w:bidi="en-US"/>
        </w:rPr>
        <w:t xml:space="preserve">School </w:t>
      </w:r>
      <w:r w:rsidR="00BA3962">
        <w:rPr>
          <w:b/>
          <w:color w:val="F79646"/>
          <w:sz w:val="72"/>
          <w:szCs w:val="72"/>
          <w:lang w:val="en-US" w:eastAsia="en-US" w:bidi="en-US"/>
        </w:rPr>
        <w:t>Policy</w:t>
      </w:r>
      <w:r>
        <w:rPr>
          <w:b/>
          <w:color w:val="F79646"/>
          <w:sz w:val="72"/>
          <w:szCs w:val="72"/>
          <w:lang w:val="en-US" w:eastAsia="en-US" w:bidi="en-US"/>
        </w:rPr>
        <w:t xml:space="preserve"> </w:t>
      </w:r>
    </w:p>
    <w:p w14:paraId="2A669EBF" w14:textId="77777777" w:rsidR="001251C7" w:rsidRPr="003152F3" w:rsidRDefault="001251C7" w:rsidP="001251C7">
      <w:pPr>
        <w:jc w:val="center"/>
        <w:rPr>
          <w:b/>
          <w:color w:val="F79646"/>
          <w:sz w:val="56"/>
          <w:szCs w:val="56"/>
          <w:lang w:val="en-US" w:eastAsia="en-US" w:bidi="en-US"/>
        </w:rPr>
      </w:pPr>
    </w:p>
    <w:p w14:paraId="3DE4C441" w14:textId="77777777" w:rsidR="001251C7" w:rsidRPr="003152F3" w:rsidRDefault="001251C7" w:rsidP="007925F8">
      <w:pPr>
        <w:tabs>
          <w:tab w:val="left" w:pos="4820"/>
        </w:tabs>
        <w:jc w:val="center"/>
        <w:rPr>
          <w:b/>
          <w:color w:val="F79646"/>
          <w:sz w:val="56"/>
          <w:szCs w:val="56"/>
          <w:lang w:val="en-US" w:eastAsia="en-US" w:bidi="en-US"/>
        </w:rPr>
      </w:pPr>
    </w:p>
    <w:p w14:paraId="0C49B44E" w14:textId="77777777" w:rsidR="001251C7" w:rsidRPr="003152F3" w:rsidRDefault="001251C7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296BAC7" w14:textId="77777777" w:rsidR="001251C7" w:rsidRPr="003152F3" w:rsidRDefault="001251C7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B881EBC" w14:textId="77777777" w:rsidR="001251C7" w:rsidRPr="003152F3" w:rsidRDefault="001251C7" w:rsidP="001251C7">
      <w:pPr>
        <w:ind w:left="0" w:firstLine="0"/>
        <w:rPr>
          <w:b/>
          <w:color w:val="F79646"/>
          <w:sz w:val="36"/>
          <w:szCs w:val="36"/>
          <w:lang w:val="en-US" w:eastAsia="en-US" w:bidi="en-US"/>
        </w:rPr>
      </w:pPr>
    </w:p>
    <w:p w14:paraId="60100636" w14:textId="77777777" w:rsidR="001251C7" w:rsidRPr="003152F3" w:rsidRDefault="001251C7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61CB3662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  <w:r w:rsidRPr="003152F3">
        <w:rPr>
          <w:b/>
          <w:noProof/>
          <w:color w:val="F79646"/>
          <w:sz w:val="56"/>
          <w:szCs w:val="56"/>
        </w:rPr>
        <w:pict w14:anchorId="3873BEF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left:0;text-align:left;margin-left:53.4pt;margin-top:15.3pt;width:347.95pt;height:85.5pt;z-index:251658240;mso-width-relative:margin;mso-height-relative:margin" fillcolor="#f79646" strokecolor="#f2f2f2" strokeweight="3pt">
            <v:shadow on="t" type="perspective" color="#974706" opacity=".5" offset="1pt" offset2="-1pt"/>
            <v:textbox style="mso-next-textbox:#_x0000_s1071">
              <w:txbxContent>
                <w:p w14:paraId="11C83052" w14:textId="77777777" w:rsidR="00B5324E" w:rsidRDefault="00B5324E" w:rsidP="002D6464">
                  <w:pPr>
                    <w:tabs>
                      <w:tab w:val="left" w:pos="453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14:paraId="47F26C71" w14:textId="77777777" w:rsidR="00B5324E" w:rsidRPr="00EF4557" w:rsidRDefault="00B5324E" w:rsidP="005D2ADD">
                  <w:pPr>
                    <w:tabs>
                      <w:tab w:val="left" w:pos="4536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This is a </w:t>
                  </w:r>
                  <w:r w:rsidR="005D2ADD">
                    <w:rPr>
                      <w:sz w:val="28"/>
                      <w:szCs w:val="28"/>
                    </w:rPr>
                    <w:t>template for Bright Futures</w:t>
                  </w:r>
                  <w:r w:rsidR="00F611FE">
                    <w:rPr>
                      <w:sz w:val="28"/>
                      <w:szCs w:val="28"/>
                    </w:rPr>
                    <w:t>’</w:t>
                  </w:r>
                  <w:r w:rsidR="005D2ADD">
                    <w:rPr>
                      <w:sz w:val="28"/>
                      <w:szCs w:val="28"/>
                    </w:rPr>
                    <w:t xml:space="preserve"> schools to adapt for their </w:t>
                  </w:r>
                  <w:r w:rsidR="00F611FE">
                    <w:rPr>
                      <w:sz w:val="28"/>
                      <w:szCs w:val="28"/>
                    </w:rPr>
                    <w:t xml:space="preserve">specific </w:t>
                  </w:r>
                  <w:r w:rsidR="005D2ADD">
                    <w:rPr>
                      <w:sz w:val="28"/>
                      <w:szCs w:val="28"/>
                    </w:rPr>
                    <w:t>setting</w:t>
                  </w:r>
                </w:p>
                <w:p w14:paraId="3A36FCCC" w14:textId="77777777" w:rsidR="00B5324E" w:rsidRDefault="00B5324E" w:rsidP="002D6464">
                  <w:pPr>
                    <w:tabs>
                      <w:tab w:val="left" w:pos="4536"/>
                    </w:tabs>
                    <w:rPr>
                      <w:sz w:val="28"/>
                      <w:szCs w:val="28"/>
                    </w:rPr>
                  </w:pPr>
                </w:p>
                <w:p w14:paraId="6A8CFE77" w14:textId="77777777" w:rsidR="00B5324E" w:rsidRPr="00EF4557" w:rsidRDefault="00B5324E" w:rsidP="002D6464">
                  <w:pPr>
                    <w:tabs>
                      <w:tab w:val="left" w:pos="4536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BF2359A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25FF3348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4A5F1EEE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3E327F21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  <w:sectPr w:rsidR="002D6464" w:rsidRPr="003152F3" w:rsidSect="0035014E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021" w:left="1134" w:header="720" w:footer="6" w:gutter="0"/>
          <w:cols w:space="720"/>
          <w:titlePg/>
          <w:docGrid w:linePitch="299"/>
        </w:sectPr>
      </w:pPr>
    </w:p>
    <w:p w14:paraId="3243F9B1" w14:textId="77777777" w:rsidR="004D221A" w:rsidRPr="003152F3" w:rsidRDefault="004D221A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74CED9E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E8B8F79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B0BF34C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4815205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034787C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7FF11C1" w14:textId="77777777" w:rsidR="00A37023" w:rsidRPr="003152F3" w:rsidRDefault="00737704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  <w:r w:rsidRPr="003152F3">
        <w:rPr>
          <w:b/>
          <w:noProof/>
          <w:color w:val="F79646"/>
          <w:sz w:val="36"/>
          <w:szCs w:val="36"/>
        </w:rPr>
        <w:pict w14:anchorId="4B7298E5">
          <v:shape id="_x0000_s1069" type="#_x0000_t176" style="position:absolute;left:0;text-align:left;margin-left:40.1pt;margin-top:15.45pt;width:404.95pt;height:361.5pt;z-index:251657216;mso-width-relative:margin;mso-height-relative:margin" strokecolor="#f79646" strokeweight="6pt">
            <v:shadow on="t" opacity=".5" offset="6pt,6pt"/>
            <v:textbox style="mso-next-textbox:#_x0000_s1069">
              <w:txbxContent>
                <w:p w14:paraId="48CC9E27" w14:textId="77777777" w:rsidR="00B5324E" w:rsidRDefault="00B5324E" w:rsidP="00271FB8">
                  <w:pPr>
                    <w:tabs>
                      <w:tab w:val="left" w:pos="4536"/>
                    </w:tabs>
                    <w:rPr>
                      <w:sz w:val="28"/>
                      <w:szCs w:val="28"/>
                    </w:rPr>
                  </w:pPr>
                </w:p>
                <w:p w14:paraId="6CDC2CFC" w14:textId="7B5B38F1" w:rsidR="00B5324E" w:rsidRDefault="00B5324E" w:rsidP="00E604B9">
                  <w:pPr>
                    <w:tabs>
                      <w:tab w:val="left" w:pos="4536"/>
                    </w:tabs>
                    <w:jc w:val="left"/>
                    <w:rPr>
                      <w:sz w:val="28"/>
                      <w:szCs w:val="28"/>
                    </w:rPr>
                  </w:pPr>
                  <w:r w:rsidRPr="00EF4557">
                    <w:rPr>
                      <w:sz w:val="28"/>
                      <w:szCs w:val="28"/>
                    </w:rPr>
                    <w:t xml:space="preserve">Date of Policy </w:t>
                  </w:r>
                  <w:r>
                    <w:rPr>
                      <w:sz w:val="28"/>
                      <w:szCs w:val="28"/>
                    </w:rPr>
                    <w:t>Approval</w:t>
                  </w:r>
                  <w:r w:rsidRPr="00EF4557">
                    <w:rPr>
                      <w:sz w:val="28"/>
                      <w:szCs w:val="28"/>
                    </w:rPr>
                    <w:t>:</w:t>
                  </w:r>
                  <w:r w:rsidR="009A52E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5B6B230" w14:textId="77777777" w:rsidR="00E604B9" w:rsidRDefault="00E604B9" w:rsidP="00E604B9">
                  <w:pPr>
                    <w:tabs>
                      <w:tab w:val="left" w:pos="4536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  <w:p w14:paraId="5CDEB1FA" w14:textId="77777777" w:rsidR="00B5324E" w:rsidRPr="00EF4557" w:rsidRDefault="00B5324E" w:rsidP="00271FB8">
                  <w:pPr>
                    <w:tabs>
                      <w:tab w:val="left" w:pos="4536"/>
                    </w:tabs>
                    <w:rPr>
                      <w:sz w:val="28"/>
                      <w:szCs w:val="28"/>
                    </w:rPr>
                  </w:pPr>
                </w:p>
                <w:p w14:paraId="665EBC27" w14:textId="77777777" w:rsidR="00B5324E" w:rsidRDefault="00B5324E" w:rsidP="001568E2">
                  <w:pPr>
                    <w:ind w:left="2835" w:hanging="2835"/>
                    <w:jc w:val="left"/>
                    <w:rPr>
                      <w:b/>
                      <w:sz w:val="28"/>
                      <w:szCs w:val="28"/>
                    </w:rPr>
                  </w:pPr>
                  <w:r w:rsidRPr="00EF4557">
                    <w:rPr>
                      <w:sz w:val="28"/>
                      <w:szCs w:val="28"/>
                    </w:rPr>
                    <w:t>Owner of Policy:</w:t>
                  </w:r>
                  <w:r w:rsidR="009A52E9">
                    <w:rPr>
                      <w:sz w:val="28"/>
                      <w:szCs w:val="28"/>
                    </w:rPr>
                    <w:t xml:space="preserve">  </w:t>
                  </w:r>
                  <w:r w:rsidR="001568E2">
                    <w:rPr>
                      <w:sz w:val="28"/>
                      <w:szCs w:val="28"/>
                    </w:rPr>
                    <w:tab/>
                  </w:r>
                  <w:r w:rsidR="00550999">
                    <w:rPr>
                      <w:sz w:val="28"/>
                      <w:szCs w:val="28"/>
                    </w:rPr>
                    <w:t xml:space="preserve">Chief </w:t>
                  </w:r>
                  <w:r w:rsidR="005D2ADD">
                    <w:rPr>
                      <w:sz w:val="28"/>
                      <w:szCs w:val="28"/>
                    </w:rPr>
                    <w:t>Operating</w:t>
                  </w:r>
                  <w:r w:rsidR="00550999">
                    <w:rPr>
                      <w:sz w:val="28"/>
                      <w:szCs w:val="28"/>
                    </w:rPr>
                    <w:t xml:space="preserve"> Officer</w:t>
                  </w:r>
                  <w:r w:rsidRPr="00EF4557">
                    <w:rPr>
                      <w:sz w:val="28"/>
                      <w:szCs w:val="28"/>
                    </w:rPr>
                    <w:tab/>
                  </w:r>
                  <w:r w:rsidR="009A52E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B65196E" w14:textId="77777777" w:rsidR="00B5324E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b/>
                      <w:sz w:val="28"/>
                      <w:szCs w:val="28"/>
                    </w:rPr>
                  </w:pPr>
                </w:p>
                <w:p w14:paraId="508D7510" w14:textId="77777777" w:rsidR="00B5324E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b/>
                      <w:sz w:val="28"/>
                      <w:szCs w:val="28"/>
                    </w:rPr>
                  </w:pPr>
                </w:p>
                <w:p w14:paraId="5DD0DA6D" w14:textId="77777777" w:rsidR="009A52E9" w:rsidRDefault="00B5324E" w:rsidP="001568E2">
                  <w:pPr>
                    <w:ind w:left="2835" w:hanging="2835"/>
                    <w:rPr>
                      <w:b/>
                      <w:sz w:val="28"/>
                      <w:szCs w:val="28"/>
                    </w:rPr>
                  </w:pPr>
                  <w:r w:rsidRPr="002F0D50">
                    <w:rPr>
                      <w:sz w:val="28"/>
                      <w:szCs w:val="28"/>
                    </w:rPr>
                    <w:t>Authorised By:</w:t>
                  </w:r>
                  <w:r w:rsidR="009A52E9">
                    <w:rPr>
                      <w:sz w:val="28"/>
                      <w:szCs w:val="28"/>
                    </w:rPr>
                    <w:t xml:space="preserve">  </w:t>
                  </w:r>
                  <w:r w:rsidR="001568E2">
                    <w:rPr>
                      <w:sz w:val="28"/>
                      <w:szCs w:val="28"/>
                    </w:rPr>
                    <w:tab/>
                  </w:r>
                  <w:r w:rsidR="005D2ADD">
                    <w:rPr>
                      <w:sz w:val="28"/>
                      <w:szCs w:val="28"/>
                    </w:rPr>
                    <w:t>Executive team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14:paraId="30586BDA" w14:textId="77777777" w:rsidR="00B5324E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b/>
                      <w:sz w:val="28"/>
                      <w:szCs w:val="28"/>
                    </w:rPr>
                  </w:pPr>
                </w:p>
                <w:p w14:paraId="4B2E6562" w14:textId="77777777" w:rsidR="00B5324E" w:rsidRPr="004E1D40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14:paraId="4DF43C9D" w14:textId="77777777" w:rsidR="00B5324E" w:rsidRPr="004E1D40" w:rsidRDefault="00B5324E" w:rsidP="001568E2">
                  <w:pPr>
                    <w:tabs>
                      <w:tab w:val="left" w:pos="2835"/>
                    </w:tabs>
                    <w:ind w:left="4536" w:hanging="4536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E1D40">
                    <w:rPr>
                      <w:color w:val="auto"/>
                      <w:sz w:val="28"/>
                      <w:szCs w:val="28"/>
                    </w:rPr>
                    <w:t>Policy Review Date:</w:t>
                  </w:r>
                  <w:r w:rsidR="009A52E9" w:rsidRPr="004E1D40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B11D84" w:rsidRPr="004E1D40">
                    <w:rPr>
                      <w:color w:val="auto"/>
                      <w:sz w:val="28"/>
                      <w:szCs w:val="28"/>
                    </w:rPr>
                    <w:tab/>
                  </w:r>
                  <w:r w:rsidR="00340DF5" w:rsidRPr="00340DF5">
                    <w:rPr>
                      <w:color w:val="auto"/>
                      <w:sz w:val="28"/>
                      <w:szCs w:val="28"/>
                    </w:rPr>
                    <w:t>February 2023</w:t>
                  </w:r>
                </w:p>
                <w:p w14:paraId="2DC62EF9" w14:textId="77777777" w:rsidR="00B5324E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sz w:val="28"/>
                      <w:szCs w:val="28"/>
                    </w:rPr>
                  </w:pPr>
                </w:p>
                <w:p w14:paraId="2704DB6D" w14:textId="77777777" w:rsidR="00B5324E" w:rsidRPr="00EF4557" w:rsidRDefault="00B5324E" w:rsidP="00271FB8">
                  <w:pPr>
                    <w:tabs>
                      <w:tab w:val="left" w:pos="4536"/>
                    </w:tabs>
                    <w:ind w:left="4536" w:hanging="4536"/>
                    <w:rPr>
                      <w:sz w:val="28"/>
                      <w:szCs w:val="28"/>
                    </w:rPr>
                  </w:pPr>
                </w:p>
                <w:p w14:paraId="0062BDB1" w14:textId="77777777" w:rsidR="00B5324E" w:rsidRPr="00340DF5" w:rsidRDefault="00B5324E" w:rsidP="00340DF5">
                  <w:pPr>
                    <w:tabs>
                      <w:tab w:val="left" w:pos="2835"/>
                    </w:tabs>
                    <w:ind w:left="4536" w:hanging="4536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F4557">
                    <w:rPr>
                      <w:sz w:val="28"/>
                      <w:szCs w:val="28"/>
                    </w:rPr>
                    <w:t>Distribution:</w:t>
                  </w:r>
                  <w:r w:rsidRPr="00EF4557">
                    <w:rPr>
                      <w:sz w:val="28"/>
                      <w:szCs w:val="28"/>
                    </w:rPr>
                    <w:tab/>
                  </w:r>
                  <w:r w:rsidR="005D2ADD" w:rsidRPr="00340DF5">
                    <w:rPr>
                      <w:color w:val="auto"/>
                      <w:sz w:val="28"/>
                      <w:szCs w:val="28"/>
                    </w:rPr>
                    <w:t>Principals/Heads of School and Finance staff</w:t>
                  </w:r>
                </w:p>
                <w:p w14:paraId="6713E1A7" w14:textId="77777777" w:rsidR="007A38D5" w:rsidRPr="00EF4557" w:rsidRDefault="007A38D5" w:rsidP="001568E2">
                  <w:pPr>
                    <w:tabs>
                      <w:tab w:val="left" w:pos="2835"/>
                    </w:tabs>
                    <w:ind w:left="4536" w:hanging="45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14:paraId="5F58D162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D65863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ADC236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A483F9B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0BCCE89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464C4492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76EF76F8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BB3F171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214264E1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B24C3A3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C720B06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E1DB19B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4336BA3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3B52E5F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48C0CA67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2721ADBB" w14:textId="77777777" w:rsidR="00A37023" w:rsidRPr="003152F3" w:rsidRDefault="00A37023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212B061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2056416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3DD7A95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  <w:sectPr w:rsidR="007925F8" w:rsidRPr="003152F3" w:rsidSect="0035014E">
          <w:headerReference w:type="even" r:id="rId16"/>
          <w:headerReference w:type="default" r:id="rId17"/>
          <w:headerReference w:type="first" r:id="rId18"/>
          <w:pgSz w:w="11906" w:h="16838"/>
          <w:pgMar w:top="1134" w:right="1134" w:bottom="1021" w:left="1134" w:header="720" w:footer="6" w:gutter="0"/>
          <w:cols w:space="720"/>
          <w:titlePg/>
          <w:docGrid w:linePitch="299"/>
        </w:sectPr>
      </w:pPr>
    </w:p>
    <w:p w14:paraId="32B470C2" w14:textId="782F30CC" w:rsidR="007925F8" w:rsidRPr="003152F3" w:rsidRDefault="007F6435" w:rsidP="004974AE">
      <w:pPr>
        <w:pStyle w:val="BDOMainHeading2"/>
      </w:pPr>
      <w:r w:rsidRPr="007F6435">
        <w:lastRenderedPageBreak/>
        <w:t>Cedar Mount Aca</w:t>
      </w:r>
      <w:r>
        <w:t>d</w:t>
      </w:r>
      <w:r w:rsidRPr="007F6435">
        <w:t>emy</w:t>
      </w:r>
      <w:r w:rsidR="005D2ADD">
        <w:t xml:space="preserve"> </w:t>
      </w:r>
      <w:r w:rsidR="00BA3962">
        <w:t>Charging and Remissions Policy</w:t>
      </w:r>
      <w:r w:rsidR="005D2ADD">
        <w:t xml:space="preserve"> </w:t>
      </w:r>
    </w:p>
    <w:p w14:paraId="4F569905" w14:textId="77777777" w:rsidR="0083397A" w:rsidRPr="0083397A" w:rsidRDefault="0083397A" w:rsidP="0083397A">
      <w:p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>Bright Futures Educational Trust’s</w:t>
      </w:r>
      <w:r w:rsidR="00F611FE">
        <w:rPr>
          <w:rStyle w:val="FootnoteReference"/>
          <w:color w:val="auto"/>
          <w:szCs w:val="24"/>
          <w:lang w:eastAsia="en-US" w:bidi="en-US"/>
        </w:rPr>
        <w:footnoteReference w:id="1"/>
      </w:r>
      <w:r w:rsidRPr="0083397A">
        <w:rPr>
          <w:color w:val="auto"/>
          <w:szCs w:val="24"/>
          <w:lang w:eastAsia="en-US" w:bidi="en-US"/>
        </w:rPr>
        <w:t xml:space="preserve"> Strategy underpins all aspects of this policy and the way in which it will be applied. These elements are:</w:t>
      </w:r>
    </w:p>
    <w:p w14:paraId="483926CA" w14:textId="77777777" w:rsid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 xml:space="preserve">Our vision, the best </w:t>
      </w:r>
      <w:r w:rsidRPr="00AD2EB4">
        <w:rPr>
          <w:b/>
          <w:i/>
          <w:color w:val="auto"/>
          <w:szCs w:val="24"/>
          <w:lang w:eastAsia="en-US" w:bidi="en-US"/>
        </w:rPr>
        <w:t>for</w:t>
      </w:r>
      <w:r w:rsidRPr="0083397A">
        <w:rPr>
          <w:color w:val="auto"/>
          <w:szCs w:val="24"/>
          <w:lang w:eastAsia="en-US" w:bidi="en-US"/>
        </w:rPr>
        <w:t xml:space="preserve"> everyone and the best </w:t>
      </w:r>
      <w:r w:rsidRPr="00AD2EB4">
        <w:rPr>
          <w:b/>
          <w:i/>
          <w:color w:val="auto"/>
          <w:szCs w:val="24"/>
          <w:lang w:eastAsia="en-US" w:bidi="en-US"/>
        </w:rPr>
        <w:t>from</w:t>
      </w:r>
      <w:r w:rsidRPr="0083397A">
        <w:rPr>
          <w:color w:val="auto"/>
          <w:szCs w:val="24"/>
          <w:lang w:eastAsia="en-US" w:bidi="en-US"/>
        </w:rPr>
        <w:t xml:space="preserve"> </w:t>
      </w:r>
      <w:proofErr w:type="gramStart"/>
      <w:r w:rsidRPr="0083397A">
        <w:rPr>
          <w:color w:val="auto"/>
          <w:szCs w:val="24"/>
          <w:lang w:eastAsia="en-US" w:bidi="en-US"/>
        </w:rPr>
        <w:t>everyone;</w:t>
      </w:r>
      <w:proofErr w:type="gramEnd"/>
    </w:p>
    <w:p w14:paraId="5391E248" w14:textId="77777777" w:rsid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>Two of our values; Integrity: We do the right things for the right reasons</w:t>
      </w:r>
      <w:r w:rsidR="00F611FE">
        <w:rPr>
          <w:color w:val="auto"/>
          <w:szCs w:val="24"/>
          <w:lang w:eastAsia="en-US" w:bidi="en-US"/>
        </w:rPr>
        <w:t>,</w:t>
      </w:r>
      <w:r w:rsidRPr="0083397A">
        <w:rPr>
          <w:color w:val="auto"/>
          <w:szCs w:val="24"/>
          <w:lang w:eastAsia="en-US" w:bidi="en-US"/>
        </w:rPr>
        <w:t xml:space="preserve"> and </w:t>
      </w:r>
      <w:r w:rsidR="00AD2EB4">
        <w:rPr>
          <w:color w:val="auto"/>
          <w:szCs w:val="24"/>
          <w:lang w:eastAsia="en-US" w:bidi="en-US"/>
        </w:rPr>
        <w:t>Community</w:t>
      </w:r>
      <w:r w:rsidRPr="0083397A">
        <w:rPr>
          <w:color w:val="auto"/>
          <w:szCs w:val="24"/>
          <w:lang w:eastAsia="en-US" w:bidi="en-US"/>
        </w:rPr>
        <w:t xml:space="preserve">: </w:t>
      </w:r>
      <w:r w:rsidR="00F611FE">
        <w:rPr>
          <w:color w:val="auto"/>
          <w:szCs w:val="24"/>
          <w:lang w:eastAsia="en-US" w:bidi="en-US"/>
        </w:rPr>
        <w:t>w</w:t>
      </w:r>
      <w:r w:rsidR="00AD2EB4" w:rsidRPr="00AD2EB4">
        <w:rPr>
          <w:color w:val="auto"/>
          <w:szCs w:val="24"/>
          <w:lang w:eastAsia="en-US" w:bidi="en-US"/>
        </w:rPr>
        <w:t xml:space="preserve">e work together for a common purpose acknowledging our diversity as </w:t>
      </w:r>
      <w:proofErr w:type="gramStart"/>
      <w:r w:rsidR="00AD2EB4" w:rsidRPr="00AD2EB4">
        <w:rPr>
          <w:color w:val="auto"/>
          <w:szCs w:val="24"/>
          <w:lang w:eastAsia="en-US" w:bidi="en-US"/>
        </w:rPr>
        <w:t>strength</w:t>
      </w:r>
      <w:r w:rsidRPr="0083397A">
        <w:rPr>
          <w:color w:val="auto"/>
          <w:szCs w:val="24"/>
          <w:lang w:eastAsia="en-US" w:bidi="en-US"/>
        </w:rPr>
        <w:t>;</w:t>
      </w:r>
      <w:proofErr w:type="gramEnd"/>
    </w:p>
    <w:p w14:paraId="1EA2C843" w14:textId="77777777" w:rsidR="0083397A" w:rsidRP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 xml:space="preserve">Five of our commitments: Collaboration and strong relationships; supportive, </w:t>
      </w:r>
      <w:proofErr w:type="gramStart"/>
      <w:r w:rsidRPr="0083397A">
        <w:rPr>
          <w:color w:val="auto"/>
          <w:szCs w:val="24"/>
          <w:lang w:eastAsia="en-US" w:bidi="en-US"/>
        </w:rPr>
        <w:t>challenging</w:t>
      </w:r>
      <w:proofErr w:type="gramEnd"/>
      <w:r w:rsidRPr="0083397A">
        <w:rPr>
          <w:color w:val="auto"/>
          <w:szCs w:val="24"/>
          <w:lang w:eastAsia="en-US" w:bidi="en-US"/>
        </w:rPr>
        <w:t xml:space="preserve"> and fair; strong governance and accountability, united behind decisions and effective communication.</w:t>
      </w:r>
    </w:p>
    <w:p w14:paraId="65E97F97" w14:textId="77777777" w:rsidR="0083397A" w:rsidRPr="0083397A" w:rsidRDefault="0083397A" w:rsidP="0083397A">
      <w:pPr>
        <w:pStyle w:val="BDOMainHeading2"/>
        <w:jc w:val="left"/>
      </w:pPr>
      <w:r w:rsidRPr="0083397A">
        <w:t>What is the Policy for?</w:t>
      </w:r>
    </w:p>
    <w:p w14:paraId="49D0A81C" w14:textId="77777777" w:rsidR="00AD2EB4" w:rsidRPr="0083397A" w:rsidRDefault="00AD2EB4" w:rsidP="00AD2EB4">
      <w:pPr>
        <w:rPr>
          <w:color w:val="auto"/>
          <w:szCs w:val="24"/>
          <w:lang w:eastAsia="en-US" w:bidi="en-US"/>
        </w:rPr>
      </w:pPr>
      <w:r>
        <w:rPr>
          <w:color w:val="auto"/>
          <w:szCs w:val="24"/>
          <w:lang w:eastAsia="en-US" w:bidi="en-US"/>
        </w:rPr>
        <w:t>T</w:t>
      </w:r>
      <w:r w:rsidRPr="00AD2EB4">
        <w:rPr>
          <w:color w:val="auto"/>
          <w:szCs w:val="24"/>
          <w:lang w:eastAsia="en-US" w:bidi="en-US"/>
        </w:rPr>
        <w:t>he 1996 Education Act requires all schools to have a </w:t>
      </w:r>
      <w:r w:rsidRPr="00AD2EB4">
        <w:rPr>
          <w:bCs/>
          <w:color w:val="auto"/>
          <w:szCs w:val="24"/>
          <w:lang w:eastAsia="en-US" w:bidi="en-US"/>
        </w:rPr>
        <w:t>policy</w:t>
      </w:r>
      <w:r w:rsidRPr="00AD2EB4">
        <w:rPr>
          <w:color w:val="auto"/>
          <w:szCs w:val="24"/>
          <w:lang w:eastAsia="en-US" w:bidi="en-US"/>
        </w:rPr>
        <w:t> on </w:t>
      </w:r>
      <w:r w:rsidRPr="00AD2EB4">
        <w:rPr>
          <w:bCs/>
          <w:color w:val="auto"/>
          <w:szCs w:val="24"/>
          <w:lang w:eastAsia="en-US" w:bidi="en-US"/>
        </w:rPr>
        <w:t>charging and remissions</w:t>
      </w:r>
      <w:r w:rsidRPr="00AD2EB4">
        <w:rPr>
          <w:color w:val="auto"/>
          <w:szCs w:val="24"/>
          <w:lang w:eastAsia="en-US" w:bidi="en-US"/>
        </w:rPr>
        <w:t> for school activities</w:t>
      </w:r>
      <w:r>
        <w:rPr>
          <w:color w:val="auto"/>
          <w:szCs w:val="24"/>
          <w:lang w:eastAsia="en-US" w:bidi="en-US"/>
        </w:rPr>
        <w:t>.</w:t>
      </w:r>
      <w:r w:rsidRPr="00AD2EB4">
        <w:rPr>
          <w:color w:val="auto"/>
          <w:szCs w:val="24"/>
          <w:lang w:eastAsia="en-US" w:bidi="en-US"/>
        </w:rPr>
        <w:t xml:space="preserve"> The </w:t>
      </w:r>
      <w:r w:rsidRPr="00AD2EB4">
        <w:rPr>
          <w:bCs/>
          <w:color w:val="auto"/>
          <w:szCs w:val="24"/>
          <w:lang w:eastAsia="en-US" w:bidi="en-US"/>
        </w:rPr>
        <w:t>policy</w:t>
      </w:r>
      <w:r w:rsidRPr="00AD2EB4">
        <w:rPr>
          <w:color w:val="auto"/>
          <w:szCs w:val="24"/>
          <w:lang w:eastAsia="en-US" w:bidi="en-US"/>
        </w:rPr>
        <w:t> identifies activities for which voluntary contributions may be requested</w:t>
      </w:r>
      <w:r>
        <w:rPr>
          <w:color w:val="auto"/>
          <w:szCs w:val="24"/>
          <w:lang w:eastAsia="en-US" w:bidi="en-US"/>
        </w:rPr>
        <w:t>, where</w:t>
      </w:r>
      <w:r w:rsidRPr="00AD2EB4">
        <w:rPr>
          <w:color w:val="auto"/>
          <w:szCs w:val="24"/>
          <w:lang w:eastAsia="en-US" w:bidi="en-US"/>
        </w:rPr>
        <w:t> </w:t>
      </w:r>
      <w:r w:rsidRPr="00AD2EB4">
        <w:rPr>
          <w:bCs/>
          <w:color w:val="auto"/>
          <w:szCs w:val="24"/>
          <w:lang w:eastAsia="en-US" w:bidi="en-US"/>
        </w:rPr>
        <w:t>charges</w:t>
      </w:r>
      <w:r>
        <w:rPr>
          <w:color w:val="auto"/>
          <w:szCs w:val="24"/>
          <w:lang w:eastAsia="en-US" w:bidi="en-US"/>
        </w:rPr>
        <w:t> will be made and where charges will not be made.</w:t>
      </w:r>
    </w:p>
    <w:p w14:paraId="64CE155C" w14:textId="77777777" w:rsidR="0083397A" w:rsidRPr="0083397A" w:rsidRDefault="0083397A" w:rsidP="0083397A">
      <w:pPr>
        <w:pStyle w:val="BDOMainHeading2"/>
        <w:jc w:val="left"/>
      </w:pPr>
      <w:r w:rsidRPr="0083397A">
        <w:t>Who is the Policy for?</w:t>
      </w:r>
    </w:p>
    <w:p w14:paraId="5116466F" w14:textId="260D3853" w:rsidR="0083397A" w:rsidRDefault="00943FF9" w:rsidP="00A40942">
      <w:pPr>
        <w:ind w:left="0" w:firstLine="0"/>
      </w:pPr>
      <w:r>
        <w:t xml:space="preserve">The policy applies to all </w:t>
      </w:r>
      <w:r w:rsidR="00F611FE">
        <w:t>aspects of the work</w:t>
      </w:r>
      <w:r>
        <w:t xml:space="preserve"> </w:t>
      </w:r>
      <w:r w:rsidR="00F611FE">
        <w:t>of</w:t>
      </w:r>
      <w:r>
        <w:t xml:space="preserve"> </w:t>
      </w:r>
      <w:r w:rsidR="007F6435">
        <w:t>Cedar Mount Academy</w:t>
      </w:r>
      <w:r w:rsidR="00F611FE">
        <w:t xml:space="preserve"> and should be adhered to and promoted by all employees</w:t>
      </w:r>
      <w:r w:rsidR="00C3345D">
        <w:t>, those working under contract to the school</w:t>
      </w:r>
      <w:r w:rsidR="00F611FE">
        <w:t xml:space="preserve"> and local governors</w:t>
      </w:r>
      <w:r w:rsidR="00C3345D">
        <w:t>.</w:t>
      </w:r>
    </w:p>
    <w:p w14:paraId="5E98EC42" w14:textId="77777777" w:rsidR="00943FF9" w:rsidRDefault="00943FF9" w:rsidP="00F54D23">
      <w:pPr>
        <w:pStyle w:val="BDOMainHeading2"/>
        <w:jc w:val="left"/>
      </w:pPr>
      <w:r>
        <w:t>Policy Standards</w:t>
      </w:r>
    </w:p>
    <w:p w14:paraId="2BAC9B4F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Where an issue arises that is not specifically dealt with within this policy, decisions will be made</w:t>
      </w:r>
    </w:p>
    <w:p w14:paraId="17CEFECB" w14:textId="77777777" w:rsid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 xml:space="preserve">which are in line with the spirit of the </w:t>
      </w:r>
      <w:r>
        <w:rPr>
          <w:lang w:val="en-US" w:eastAsia="en-US" w:bidi="en-US"/>
        </w:rPr>
        <w:t>Bright Futures’ inclusive values and the legal framework</w:t>
      </w:r>
      <w:r w:rsidRPr="00F611FE">
        <w:rPr>
          <w:lang w:val="en-US" w:eastAsia="en-US" w:bidi="en-US"/>
        </w:rPr>
        <w:t>.</w:t>
      </w:r>
    </w:p>
    <w:p w14:paraId="7B116418" w14:textId="77777777" w:rsidR="00C3345D" w:rsidRDefault="00C3345D" w:rsidP="00F611FE">
      <w:pPr>
        <w:rPr>
          <w:lang w:val="en-US" w:eastAsia="en-US" w:bidi="en-US"/>
        </w:rPr>
      </w:pPr>
    </w:p>
    <w:p w14:paraId="6539EF51" w14:textId="77777777" w:rsidR="00C3345D" w:rsidRPr="00F611FE" w:rsidRDefault="00C3345D" w:rsidP="00F611FE">
      <w:pPr>
        <w:rPr>
          <w:lang w:val="en-US" w:eastAsia="en-US" w:bidi="en-US"/>
        </w:rPr>
      </w:pPr>
      <w:r>
        <w:rPr>
          <w:lang w:val="en-US" w:eastAsia="en-US" w:bidi="en-US"/>
        </w:rPr>
        <w:t>We aim to ensure that no student is disadvantaged or excluded from activities organized by the school because of their financial or socio-economic circumstances.</w:t>
      </w:r>
    </w:p>
    <w:p w14:paraId="7A9EE757" w14:textId="77777777" w:rsidR="00F611FE" w:rsidRDefault="00F611FE" w:rsidP="00F611FE">
      <w:pPr>
        <w:rPr>
          <w:lang w:val="en-US" w:eastAsia="en-US" w:bidi="en-US"/>
        </w:rPr>
      </w:pPr>
    </w:p>
    <w:p w14:paraId="3D1DEA8B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Definitions</w:t>
      </w:r>
    </w:p>
    <w:p w14:paraId="3FBBACBD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• Charge: a fee payable for specifically defined activities</w:t>
      </w:r>
    </w:p>
    <w:p w14:paraId="1DDEAB20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• Remission: the cancellation of a charge which would normally be payable</w:t>
      </w:r>
      <w:r w:rsidRPr="00F611FE">
        <w:rPr>
          <w:lang w:val="en-US" w:eastAsia="en-US" w:bidi="en-US"/>
        </w:rPr>
        <w:cr/>
      </w:r>
    </w:p>
    <w:p w14:paraId="0257A3A6" w14:textId="77777777" w:rsidR="00943FF9" w:rsidRDefault="00943FF9" w:rsidP="00943FF9">
      <w:pPr>
        <w:pStyle w:val="BDOMainHeading2"/>
        <w:jc w:val="left"/>
      </w:pPr>
      <w:r>
        <w:t>Charging</w:t>
      </w:r>
    </w:p>
    <w:p w14:paraId="772DD38B" w14:textId="77777777" w:rsidR="00F54D23" w:rsidRPr="00C2134C" w:rsidRDefault="005D2ADD" w:rsidP="00F54D23">
      <w:pPr>
        <w:rPr>
          <w:b/>
          <w:bCs/>
          <w:u w:val="single"/>
        </w:rPr>
      </w:pPr>
      <w:r w:rsidRPr="00C2134C">
        <w:rPr>
          <w:b/>
          <w:bCs/>
          <w:u w:val="single"/>
        </w:rPr>
        <w:t>We</w:t>
      </w:r>
      <w:r w:rsidR="00F54D23" w:rsidRPr="00C2134C">
        <w:rPr>
          <w:b/>
          <w:bCs/>
          <w:u w:val="single"/>
        </w:rPr>
        <w:t xml:space="preserve"> will not charge for:</w:t>
      </w:r>
    </w:p>
    <w:p w14:paraId="34197D33" w14:textId="77777777" w:rsidR="00C3345D" w:rsidRDefault="00C3345D" w:rsidP="00C3345D">
      <w:pPr>
        <w:ind w:left="0" w:firstLine="0"/>
      </w:pPr>
    </w:p>
    <w:p w14:paraId="50E4E81D" w14:textId="77777777" w:rsidR="00C3345D" w:rsidRDefault="00C3345D" w:rsidP="00C3345D">
      <w:pPr>
        <w:ind w:left="0" w:firstLine="0"/>
      </w:pPr>
      <w:r>
        <w:t>Charges are not made for</w:t>
      </w:r>
      <w:r w:rsidR="00C2134C">
        <w:t xml:space="preserve"> admission applications or</w:t>
      </w:r>
      <w:r>
        <w:t xml:space="preserve"> activities that take place during core school hours. These activities include: -</w:t>
      </w:r>
    </w:p>
    <w:p w14:paraId="78A99186" w14:textId="77777777" w:rsidR="00C3345D" w:rsidRDefault="00C3345D" w:rsidP="00C3345D">
      <w:pPr>
        <w:numPr>
          <w:ilvl w:val="0"/>
          <w:numId w:val="6"/>
        </w:numPr>
      </w:pPr>
      <w:r>
        <w:t>All aspects of the national curriculum.</w:t>
      </w:r>
    </w:p>
    <w:p w14:paraId="1C40BE96" w14:textId="77777777" w:rsidR="00C3345D" w:rsidRDefault="00C3345D" w:rsidP="00C3345D">
      <w:pPr>
        <w:numPr>
          <w:ilvl w:val="0"/>
          <w:numId w:val="6"/>
        </w:numPr>
      </w:pPr>
      <w:r>
        <w:t>Anything required as part of the specification for a prescribed examination.</w:t>
      </w:r>
    </w:p>
    <w:p w14:paraId="7ADC5289" w14:textId="77777777" w:rsidR="00C3345D" w:rsidRDefault="00C3345D" w:rsidP="00C3345D">
      <w:pPr>
        <w:numPr>
          <w:ilvl w:val="0"/>
          <w:numId w:val="6"/>
        </w:numPr>
      </w:pPr>
      <w:r>
        <w:t>Examination entry fees for public examinations for which registered students are being</w:t>
      </w:r>
    </w:p>
    <w:p w14:paraId="71574DFF" w14:textId="77777777" w:rsidR="00C3345D" w:rsidRDefault="00C3345D" w:rsidP="009C621F">
      <w:pPr>
        <w:ind w:left="720" w:firstLine="0"/>
      </w:pPr>
      <w:r>
        <w:lastRenderedPageBreak/>
        <w:t>prepared at the school</w:t>
      </w:r>
      <w:r w:rsidR="009C621F">
        <w:t>, including re-marks and re-sits where the school has requested that these take place.</w:t>
      </w:r>
    </w:p>
    <w:p w14:paraId="3D583622" w14:textId="77777777" w:rsidR="00C3345D" w:rsidRDefault="00C3345D" w:rsidP="00C3345D">
      <w:pPr>
        <w:numPr>
          <w:ilvl w:val="0"/>
          <w:numId w:val="7"/>
        </w:numPr>
      </w:pPr>
      <w:r>
        <w:t xml:space="preserve">The provision of books, equipment, </w:t>
      </w:r>
      <w:proofErr w:type="gramStart"/>
      <w:r>
        <w:t>materials</w:t>
      </w:r>
      <w:proofErr w:type="gramEnd"/>
      <w:r>
        <w:t xml:space="preserve"> or transport in relation to any activity</w:t>
      </w:r>
    </w:p>
    <w:p w14:paraId="7C2191FC" w14:textId="77777777" w:rsidR="00C3345D" w:rsidRDefault="00C3345D" w:rsidP="00C2134C">
      <w:pPr>
        <w:ind w:firstLine="709"/>
      </w:pPr>
      <w:r>
        <w:t>that cannot itself be charged for. However, parents</w:t>
      </w:r>
      <w:r w:rsidR="00241A82">
        <w:t>/carers</w:t>
      </w:r>
      <w:r>
        <w:t xml:space="preserve"> may be asked to contribute</w:t>
      </w:r>
    </w:p>
    <w:p w14:paraId="2EEA765F" w14:textId="77777777" w:rsidR="00C3345D" w:rsidRDefault="00C3345D" w:rsidP="00C2134C">
      <w:pPr>
        <w:ind w:left="720" w:firstLine="0"/>
      </w:pPr>
      <w:r>
        <w:t>voluntarily towards the costs of materials (e.g. design technology, textiles) or ingredients (e.g. food technology) where the finished product will then be owned by the student.</w:t>
      </w:r>
    </w:p>
    <w:p w14:paraId="73CBDDDF" w14:textId="77777777" w:rsidR="00C3345D" w:rsidRDefault="00C3345D" w:rsidP="00C3345D">
      <w:pPr>
        <w:numPr>
          <w:ilvl w:val="0"/>
          <w:numId w:val="7"/>
        </w:numPr>
      </w:pPr>
      <w:r>
        <w:t>Non-residential school trips and visits that take place substantially (50% or more)</w:t>
      </w:r>
    </w:p>
    <w:p w14:paraId="6F0B992A" w14:textId="77777777" w:rsidR="00C3345D" w:rsidRDefault="00C3345D" w:rsidP="00C2134C">
      <w:pPr>
        <w:ind w:left="720" w:firstLine="0"/>
      </w:pPr>
      <w:r>
        <w:t>during school hours. A contribution towards the costs may be requested but parents/carers are under no obligation to contribute.</w:t>
      </w:r>
    </w:p>
    <w:p w14:paraId="2AFFC27E" w14:textId="77777777" w:rsidR="00C2134C" w:rsidRDefault="00C2134C" w:rsidP="00C3345D"/>
    <w:p w14:paraId="30D51458" w14:textId="77777777" w:rsidR="00C2134C" w:rsidRPr="00C2134C" w:rsidRDefault="00C2134C" w:rsidP="00C3345D">
      <w:pPr>
        <w:rPr>
          <w:b/>
          <w:u w:val="single"/>
        </w:rPr>
      </w:pPr>
      <w:r w:rsidRPr="00C2134C">
        <w:rPr>
          <w:b/>
          <w:u w:val="single"/>
        </w:rPr>
        <w:t>Work experience</w:t>
      </w:r>
    </w:p>
    <w:p w14:paraId="797A5320" w14:textId="77777777" w:rsidR="00C2134C" w:rsidRDefault="00C2134C" w:rsidP="00C3345D">
      <w:pPr>
        <w:ind w:left="0" w:firstLine="0"/>
      </w:pPr>
    </w:p>
    <w:p w14:paraId="64D3E6B0" w14:textId="77777777" w:rsidR="00C3345D" w:rsidRDefault="00C3345D" w:rsidP="00C2134C">
      <w:pPr>
        <w:numPr>
          <w:ilvl w:val="0"/>
          <w:numId w:val="7"/>
        </w:numPr>
      </w:pPr>
      <w:r>
        <w:t>The costs of travelling to and from home when students are on work experience are</w:t>
      </w:r>
      <w:r w:rsidR="00C2134C">
        <w:t xml:space="preserve"> normally</w:t>
      </w:r>
      <w:r>
        <w:t xml:space="preserve"> met</w:t>
      </w:r>
      <w:r w:rsidR="00C2134C">
        <w:t xml:space="preserve"> </w:t>
      </w:r>
      <w:r>
        <w:t>by parents/carers.</w:t>
      </w:r>
      <w:r w:rsidR="00C2134C">
        <w:t xml:space="preserve"> If this presents any difficulty, parents/carers should inform the school</w:t>
      </w:r>
      <w:r w:rsidR="00CC6AAD">
        <w:t>.</w:t>
      </w:r>
    </w:p>
    <w:p w14:paraId="3045D5B7" w14:textId="77777777" w:rsidR="00C2134C" w:rsidRDefault="00C2134C" w:rsidP="00C2134C">
      <w:pPr>
        <w:ind w:left="720" w:firstLine="0"/>
      </w:pPr>
    </w:p>
    <w:p w14:paraId="022496EA" w14:textId="77777777" w:rsidR="00C3345D" w:rsidRPr="00C2134C" w:rsidRDefault="00C3345D" w:rsidP="00C3345D">
      <w:pPr>
        <w:rPr>
          <w:b/>
          <w:bCs/>
          <w:u w:val="single"/>
        </w:rPr>
      </w:pPr>
      <w:r w:rsidRPr="00C2134C">
        <w:rPr>
          <w:b/>
          <w:bCs/>
          <w:u w:val="single"/>
        </w:rPr>
        <w:t>Voluntary Contributions</w:t>
      </w:r>
    </w:p>
    <w:p w14:paraId="50BE42C8" w14:textId="77777777" w:rsidR="00C2134C" w:rsidRDefault="00C2134C" w:rsidP="00C3345D"/>
    <w:p w14:paraId="2E14E035" w14:textId="77777777" w:rsidR="00C3345D" w:rsidRDefault="00C3345D" w:rsidP="00C3345D">
      <w:r>
        <w:t>Trips and Activities</w:t>
      </w:r>
    </w:p>
    <w:p w14:paraId="71EA0ACC" w14:textId="77777777" w:rsidR="002F19BE" w:rsidRDefault="002F19BE" w:rsidP="00C3345D"/>
    <w:p w14:paraId="3AAD2121" w14:textId="77777777" w:rsidR="00C3345D" w:rsidRDefault="00C3345D" w:rsidP="002F19BE">
      <w:pPr>
        <w:numPr>
          <w:ilvl w:val="0"/>
          <w:numId w:val="7"/>
        </w:numPr>
      </w:pPr>
      <w:r>
        <w:t>Where charges are not made but where contributions need to be requested to ensure</w:t>
      </w:r>
    </w:p>
    <w:p w14:paraId="1EDCD3EB" w14:textId="77777777" w:rsidR="00C3345D" w:rsidRDefault="00C3345D" w:rsidP="002F19BE">
      <w:pPr>
        <w:ind w:firstLine="709"/>
      </w:pPr>
      <w:r>
        <w:t>financial viability of the trip or activity, information sent out to parents will include the</w:t>
      </w:r>
    </w:p>
    <w:p w14:paraId="18BAAB8D" w14:textId="77777777" w:rsidR="00C3345D" w:rsidRDefault="00C3345D" w:rsidP="002F19BE">
      <w:pPr>
        <w:ind w:firstLine="709"/>
      </w:pPr>
      <w:r>
        <w:t xml:space="preserve">following statement: </w:t>
      </w:r>
    </w:p>
    <w:p w14:paraId="4C53F725" w14:textId="1C61DD43" w:rsidR="00C3345D" w:rsidRDefault="002F19BE" w:rsidP="002F19BE">
      <w:pPr>
        <w:ind w:left="720" w:firstLine="0"/>
      </w:pPr>
      <w:r w:rsidRPr="002F19BE">
        <w:rPr>
          <w:i/>
          <w:iCs/>
        </w:rPr>
        <w:t>‘N</w:t>
      </w:r>
      <w:r w:rsidR="00C3345D" w:rsidRPr="002F19BE">
        <w:rPr>
          <w:i/>
          <w:iCs/>
        </w:rPr>
        <w:t>o student will be denied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 xml:space="preserve">participation on the grounds that </w:t>
      </w:r>
      <w:r>
        <w:rPr>
          <w:i/>
          <w:iCs/>
        </w:rPr>
        <w:t>a</w:t>
      </w:r>
      <w:r w:rsidR="00C3345D" w:rsidRPr="002F19BE">
        <w:rPr>
          <w:i/>
          <w:iCs/>
        </w:rPr>
        <w:t xml:space="preserve"> contribution has </w:t>
      </w:r>
      <w:r>
        <w:rPr>
          <w:i/>
          <w:iCs/>
        </w:rPr>
        <w:t xml:space="preserve">not </w:t>
      </w:r>
      <w:r w:rsidR="00C3345D" w:rsidRPr="002F19BE">
        <w:rPr>
          <w:i/>
          <w:iCs/>
        </w:rPr>
        <w:t>been made on their behalf.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 xml:space="preserve">However, please be aware, if insufficient contributions are </w:t>
      </w:r>
      <w:proofErr w:type="gramStart"/>
      <w:r w:rsidR="00C3345D" w:rsidRPr="002F19BE">
        <w:rPr>
          <w:i/>
          <w:iCs/>
        </w:rPr>
        <w:t>made</w:t>
      </w:r>
      <w:proofErr w:type="gramEnd"/>
      <w:r w:rsidR="00C3345D" w:rsidRPr="002F19BE">
        <w:rPr>
          <w:i/>
          <w:iCs/>
        </w:rPr>
        <w:t xml:space="preserve"> we </w:t>
      </w:r>
      <w:r w:rsidR="007F6435">
        <w:rPr>
          <w:i/>
          <w:iCs/>
        </w:rPr>
        <w:t>may</w:t>
      </w:r>
      <w:r w:rsidR="00C3345D" w:rsidRPr="002F19BE">
        <w:rPr>
          <w:i/>
          <w:iCs/>
        </w:rPr>
        <w:t xml:space="preserve"> be unable to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>proceed with the trip.</w:t>
      </w:r>
      <w:r>
        <w:t>’</w:t>
      </w:r>
    </w:p>
    <w:p w14:paraId="4C3D25C0" w14:textId="77777777" w:rsidR="002F19BE" w:rsidRDefault="002F19BE" w:rsidP="00C3345D"/>
    <w:p w14:paraId="0D1A26EA" w14:textId="77777777" w:rsidR="002F19BE" w:rsidRDefault="002F19BE" w:rsidP="00C3345D"/>
    <w:p w14:paraId="3F53A238" w14:textId="77777777" w:rsidR="00C3345D" w:rsidRPr="002F19BE" w:rsidRDefault="00C3345D" w:rsidP="00C3345D">
      <w:pPr>
        <w:rPr>
          <w:b/>
          <w:bCs/>
          <w:u w:val="single"/>
        </w:rPr>
      </w:pPr>
      <w:r w:rsidRPr="002F19BE">
        <w:rPr>
          <w:b/>
          <w:bCs/>
          <w:u w:val="single"/>
        </w:rPr>
        <w:t xml:space="preserve">Activities for which </w:t>
      </w:r>
      <w:r w:rsidR="002F19BE">
        <w:rPr>
          <w:b/>
          <w:bCs/>
          <w:u w:val="single"/>
        </w:rPr>
        <w:t xml:space="preserve">part or full </w:t>
      </w:r>
      <w:r w:rsidRPr="002F19BE">
        <w:rPr>
          <w:b/>
          <w:bCs/>
          <w:u w:val="single"/>
        </w:rPr>
        <w:t xml:space="preserve">charges </w:t>
      </w:r>
      <w:r w:rsidR="002F19BE">
        <w:rPr>
          <w:b/>
          <w:bCs/>
          <w:u w:val="single"/>
        </w:rPr>
        <w:t>may be</w:t>
      </w:r>
      <w:r w:rsidRPr="002F19BE">
        <w:rPr>
          <w:b/>
          <w:bCs/>
          <w:u w:val="single"/>
        </w:rPr>
        <w:t xml:space="preserve"> made</w:t>
      </w:r>
    </w:p>
    <w:p w14:paraId="06831590" w14:textId="77777777" w:rsidR="002F19BE" w:rsidRDefault="002F19BE" w:rsidP="00C3345D"/>
    <w:p w14:paraId="6DDEF945" w14:textId="77777777" w:rsidR="00C3345D" w:rsidRPr="00BA05A1" w:rsidRDefault="00C3345D" w:rsidP="002F19BE">
      <w:pPr>
        <w:numPr>
          <w:ilvl w:val="0"/>
          <w:numId w:val="7"/>
        </w:numPr>
      </w:pPr>
      <w:r>
        <w:t xml:space="preserve">Residential School </w:t>
      </w:r>
      <w:r w:rsidRPr="00BA05A1">
        <w:t xml:space="preserve">Trips </w:t>
      </w:r>
    </w:p>
    <w:p w14:paraId="1E0DC29B" w14:textId="4ADBCD0A" w:rsidR="00C3345D" w:rsidRPr="00BA05A1" w:rsidRDefault="00C3345D" w:rsidP="00BB075F">
      <w:pPr>
        <w:numPr>
          <w:ilvl w:val="0"/>
          <w:numId w:val="7"/>
        </w:numPr>
      </w:pPr>
      <w:r w:rsidRPr="00BA05A1">
        <w:t>Musical instrument</w:t>
      </w:r>
      <w:r w:rsidR="002F19BE" w:rsidRPr="00BA05A1">
        <w:t xml:space="preserve"> </w:t>
      </w:r>
      <w:r w:rsidRPr="00BA05A1">
        <w:t xml:space="preserve">tuition </w:t>
      </w:r>
      <w:r w:rsidR="002F19BE" w:rsidRPr="00BA05A1">
        <w:rPr>
          <w:i/>
          <w:iCs/>
        </w:rPr>
        <w:t>(</w:t>
      </w:r>
      <w:r w:rsidR="00BA05A1" w:rsidRPr="00BA05A1">
        <w:rPr>
          <w:i/>
          <w:iCs/>
        </w:rPr>
        <w:t>It is the current practice of the academy to subsidise the</w:t>
      </w:r>
      <w:r w:rsidR="00BA05A1" w:rsidRPr="00BA05A1">
        <w:rPr>
          <w:i/>
          <w:iCs/>
        </w:rPr>
        <w:t xml:space="preserve"> cost of peripatetic instrumental instruction.</w:t>
      </w:r>
      <w:r w:rsidR="00BA05A1">
        <w:rPr>
          <w:i/>
          <w:iCs/>
        </w:rPr>
        <w:t xml:space="preserve"> Any changes to this will be communicated to parents two months before the signing of any tuition agreement)</w:t>
      </w:r>
    </w:p>
    <w:p w14:paraId="10EF7593" w14:textId="77777777" w:rsidR="00C3345D" w:rsidRPr="00BA05A1" w:rsidRDefault="00C3345D" w:rsidP="002F19BE">
      <w:pPr>
        <w:numPr>
          <w:ilvl w:val="0"/>
          <w:numId w:val="7"/>
        </w:numPr>
      </w:pPr>
      <w:r w:rsidRPr="00BA05A1">
        <w:t xml:space="preserve">Certain fees associated with public examinations </w:t>
      </w:r>
    </w:p>
    <w:p w14:paraId="4D7E43E5" w14:textId="77777777" w:rsidR="00C3345D" w:rsidRDefault="00C3345D" w:rsidP="002F19BE">
      <w:pPr>
        <w:numPr>
          <w:ilvl w:val="0"/>
          <w:numId w:val="7"/>
        </w:numPr>
      </w:pPr>
      <w:r w:rsidRPr="00BA05A1">
        <w:t>Photocopying for private</w:t>
      </w:r>
      <w:r>
        <w:t xml:space="preserve"> use </w:t>
      </w:r>
    </w:p>
    <w:p w14:paraId="7FFF8A92" w14:textId="77777777" w:rsidR="00C3345D" w:rsidRDefault="00C3345D" w:rsidP="002F19BE">
      <w:pPr>
        <w:numPr>
          <w:ilvl w:val="0"/>
          <w:numId w:val="7"/>
        </w:numPr>
      </w:pPr>
      <w:r>
        <w:t xml:space="preserve">Cost of </w:t>
      </w:r>
      <w:r w:rsidR="002F19BE">
        <w:t>d</w:t>
      </w:r>
      <w:r>
        <w:t xml:space="preserve">amages </w:t>
      </w:r>
    </w:p>
    <w:p w14:paraId="275F01D2" w14:textId="77777777" w:rsidR="00A40942" w:rsidRDefault="00A40942" w:rsidP="00BA05A1">
      <w:pPr>
        <w:ind w:left="0" w:firstLine="0"/>
      </w:pPr>
    </w:p>
    <w:p w14:paraId="02D5AC82" w14:textId="77777777" w:rsidR="00C3345D" w:rsidRDefault="00C3345D" w:rsidP="00C3345D">
      <w:r>
        <w:t>Residential School Trips</w:t>
      </w:r>
    </w:p>
    <w:p w14:paraId="5A47BB2F" w14:textId="77777777" w:rsidR="002F19BE" w:rsidRDefault="002F19BE" w:rsidP="00C3345D"/>
    <w:p w14:paraId="0CE4F09E" w14:textId="77777777" w:rsidR="00C3345D" w:rsidRDefault="00C3345D" w:rsidP="002F19BE">
      <w:pPr>
        <w:numPr>
          <w:ilvl w:val="0"/>
          <w:numId w:val="8"/>
        </w:numPr>
      </w:pPr>
      <w:r>
        <w:t xml:space="preserve">The board and lodging element on school trips </w:t>
      </w:r>
      <w:r w:rsidR="002F19BE">
        <w:t xml:space="preserve">can </w:t>
      </w:r>
      <w:r>
        <w:t>be charged for</w:t>
      </w:r>
      <w:r w:rsidR="002F19BE">
        <w:t xml:space="preserve"> </w:t>
      </w:r>
      <w:r>
        <w:t xml:space="preserve">whether </w:t>
      </w:r>
      <w:r w:rsidR="002F19BE">
        <w:t xml:space="preserve">or not </w:t>
      </w:r>
      <w:r>
        <w:t xml:space="preserve">the trip has occurred within school hours or whether </w:t>
      </w:r>
      <w:r w:rsidR="002F19BE">
        <w:t xml:space="preserve">or </w:t>
      </w:r>
      <w:r>
        <w:t>has taken</w:t>
      </w:r>
      <w:r w:rsidR="002F19BE">
        <w:t xml:space="preserve"> </w:t>
      </w:r>
      <w:r>
        <w:t>place to fulfil the requirements of the national curriculum or as part of a prescribed syllabus.</w:t>
      </w:r>
    </w:p>
    <w:p w14:paraId="45EF8F27" w14:textId="77777777" w:rsidR="00C3345D" w:rsidRDefault="009C621F" w:rsidP="003C7D52">
      <w:pPr>
        <w:ind w:left="720" w:firstLine="0"/>
      </w:pPr>
      <w:r>
        <w:t>If</w:t>
      </w:r>
      <w:r w:rsidR="00C3345D">
        <w:t xml:space="preserve"> more than half of the trip takes place outside school hours, the remaining</w:t>
      </w:r>
      <w:r>
        <w:t xml:space="preserve"> </w:t>
      </w:r>
      <w:r w:rsidR="00C3345D">
        <w:t xml:space="preserve">costs </w:t>
      </w:r>
      <w:r>
        <w:t>may</w:t>
      </w:r>
      <w:r w:rsidR="00C3345D">
        <w:t xml:space="preserve"> be charged for in full.</w:t>
      </w:r>
    </w:p>
    <w:p w14:paraId="12539606" w14:textId="77777777" w:rsidR="003C7D52" w:rsidRDefault="003C7D52" w:rsidP="003C7D52">
      <w:pPr>
        <w:ind w:left="720" w:firstLine="0"/>
      </w:pPr>
    </w:p>
    <w:p w14:paraId="2BAF2944" w14:textId="77777777" w:rsidR="003C7D52" w:rsidRDefault="003C7D52" w:rsidP="003C7D52">
      <w:pPr>
        <w:numPr>
          <w:ilvl w:val="0"/>
          <w:numId w:val="8"/>
        </w:numPr>
      </w:pPr>
      <w:r>
        <w:lastRenderedPageBreak/>
        <w:t>If a student or parent/carer requests a review of marking, a re-</w:t>
      </w:r>
      <w:proofErr w:type="gramStart"/>
      <w:r>
        <w:t>sit</w:t>
      </w:r>
      <w:proofErr w:type="gramEnd"/>
      <w:r>
        <w:t xml:space="preserve"> or a copy of an</w:t>
      </w:r>
    </w:p>
    <w:p w14:paraId="79CEDB4F" w14:textId="77777777" w:rsidR="003C7D52" w:rsidRDefault="003C7D52" w:rsidP="003C7D52">
      <w:pPr>
        <w:ind w:left="720" w:firstLine="0"/>
      </w:pPr>
      <w:r>
        <w:t xml:space="preserve">examination script, a charge will be made to the parent/carer to cover costs. </w:t>
      </w:r>
      <w:bookmarkStart w:id="0" w:name="_Hlk65178130"/>
      <w:r>
        <w:t>This amount will include any relevant fee charged by the examining body, any additional</w:t>
      </w:r>
    </w:p>
    <w:p w14:paraId="0FC05C17" w14:textId="77777777" w:rsidR="003C7D52" w:rsidRDefault="003C7D52" w:rsidP="003C7D52">
      <w:pPr>
        <w:ind w:left="0" w:firstLine="720"/>
      </w:pPr>
      <w:r>
        <w:t>invigilation costs plus an administration fee.</w:t>
      </w:r>
    </w:p>
    <w:bookmarkEnd w:id="0"/>
    <w:p w14:paraId="61999188" w14:textId="77777777" w:rsidR="003C7D52" w:rsidRDefault="003C7D52" w:rsidP="003C7D52">
      <w:pPr>
        <w:ind w:left="0" w:firstLine="0"/>
      </w:pPr>
    </w:p>
    <w:p w14:paraId="5B70EA91" w14:textId="77777777" w:rsidR="003C7D52" w:rsidRDefault="003C7D52" w:rsidP="003C7D52">
      <w:pPr>
        <w:numPr>
          <w:ilvl w:val="0"/>
          <w:numId w:val="8"/>
        </w:numPr>
      </w:pPr>
      <w:r>
        <w:t>If a student wishes to sit an examination for which they have not been prepared at the</w:t>
      </w:r>
    </w:p>
    <w:p w14:paraId="15E3A68D" w14:textId="77777777" w:rsidR="003C7D52" w:rsidRDefault="003C7D52" w:rsidP="003C7D52">
      <w:pPr>
        <w:ind w:left="720" w:firstLine="0"/>
      </w:pPr>
      <w:r>
        <w:t xml:space="preserve">school, a charge will be made to cover costs. This amount will include any relevant fee </w:t>
      </w:r>
    </w:p>
    <w:p w14:paraId="59793BF3" w14:textId="77777777" w:rsidR="003C7D52" w:rsidRDefault="003C7D52" w:rsidP="003C7D52">
      <w:pPr>
        <w:ind w:left="720" w:firstLine="0"/>
      </w:pPr>
      <w:r>
        <w:t>charged by the examining body, any additional invigilation costs plus an administration fee.</w:t>
      </w:r>
    </w:p>
    <w:p w14:paraId="1AFDB31E" w14:textId="77777777" w:rsidR="003C7D52" w:rsidRDefault="003C7D52" w:rsidP="003C7D52">
      <w:pPr>
        <w:ind w:left="0" w:firstLine="0"/>
      </w:pPr>
    </w:p>
    <w:p w14:paraId="11CD5793" w14:textId="77777777" w:rsidR="003C7D52" w:rsidRDefault="003C7D52" w:rsidP="003C7D52">
      <w:pPr>
        <w:numPr>
          <w:ilvl w:val="0"/>
          <w:numId w:val="8"/>
        </w:numPr>
      </w:pPr>
      <w:r>
        <w:t>If there is a request comes from another school to sit one or more of</w:t>
      </w:r>
    </w:p>
    <w:p w14:paraId="0DA5556F" w14:textId="77777777" w:rsidR="003C7D52" w:rsidRDefault="003C7D52" w:rsidP="003C7D52">
      <w:pPr>
        <w:ind w:left="720" w:firstLine="0"/>
      </w:pPr>
      <w:r>
        <w:t>their students for an examination at the school and it is agreed, all costs associated with the examination plus an administration fee will be charged to the parents/carers of those students.</w:t>
      </w:r>
    </w:p>
    <w:p w14:paraId="1ACB2B30" w14:textId="77777777" w:rsidR="003C7D52" w:rsidRDefault="003C7D52" w:rsidP="003C7D52">
      <w:pPr>
        <w:ind w:left="0" w:firstLine="0"/>
      </w:pPr>
    </w:p>
    <w:p w14:paraId="7F449C30" w14:textId="77777777" w:rsidR="003C7D52" w:rsidRDefault="003C7D52" w:rsidP="003C7D52">
      <w:pPr>
        <w:ind w:left="0" w:firstLine="0"/>
      </w:pPr>
      <w:r>
        <w:t>Photocopying/Printing</w:t>
      </w:r>
    </w:p>
    <w:p w14:paraId="0628CFC8" w14:textId="77777777" w:rsidR="003C7D52" w:rsidRDefault="003C7D52" w:rsidP="003C7D52">
      <w:pPr>
        <w:ind w:left="0" w:firstLine="0"/>
      </w:pPr>
    </w:p>
    <w:p w14:paraId="66B7E653" w14:textId="77777777" w:rsidR="003C7D52" w:rsidRDefault="003C7D52" w:rsidP="003C7D52">
      <w:pPr>
        <w:ind w:left="720" w:firstLine="0"/>
      </w:pPr>
      <w:r>
        <w:t>All photocopying/printing costs associated with provision of the curriculum are met by the</w:t>
      </w:r>
    </w:p>
    <w:p w14:paraId="380BE09C" w14:textId="77777777" w:rsidR="003C7D52" w:rsidRDefault="003C7D52" w:rsidP="00A40942">
      <w:pPr>
        <w:ind w:left="720" w:firstLine="0"/>
      </w:pPr>
      <w:r>
        <w:t>school. Voluntary contributions to support the provision of resources may be requested from</w:t>
      </w:r>
      <w:r w:rsidR="00A40942">
        <w:t xml:space="preserve"> </w:t>
      </w:r>
      <w:r>
        <w:t>parents</w:t>
      </w:r>
      <w:r w:rsidR="00A40942">
        <w:t>/carers</w:t>
      </w:r>
      <w:r>
        <w:t xml:space="preserve"> on occasion. </w:t>
      </w:r>
    </w:p>
    <w:p w14:paraId="3AB48E13" w14:textId="77777777" w:rsidR="00A40942" w:rsidRDefault="00A40942" w:rsidP="00A40942">
      <w:pPr>
        <w:ind w:left="720" w:firstLine="0"/>
      </w:pPr>
      <w:r>
        <w:t>(Insert any arrangements for allowing students an allocation for copying/printing)</w:t>
      </w:r>
    </w:p>
    <w:p w14:paraId="3BBB3ABB" w14:textId="77777777" w:rsidR="00A40942" w:rsidRDefault="00A40942" w:rsidP="00A40942"/>
    <w:p w14:paraId="18C8EAE2" w14:textId="77777777" w:rsidR="00A40942" w:rsidRDefault="00A40942" w:rsidP="00A40942">
      <w:r>
        <w:t>Cost of Damages</w:t>
      </w:r>
    </w:p>
    <w:p w14:paraId="6EE7967F" w14:textId="77777777" w:rsidR="00A40942" w:rsidRDefault="00A40942" w:rsidP="00A40942"/>
    <w:p w14:paraId="45858165" w14:textId="77777777" w:rsidR="00A40942" w:rsidRDefault="00A40942" w:rsidP="00CC6AAD">
      <w:pPr>
        <w:ind w:left="616"/>
      </w:pPr>
      <w:r>
        <w:t>These include any wilful damage to the fabric of the school premises (such as a broken window) and the defacing, loss or breakage of books or classroom equipment. Particularly in cases where damage</w:t>
      </w:r>
      <w:r w:rsidR="00CC6AAD">
        <w:t xml:space="preserve"> is</w:t>
      </w:r>
      <w:r>
        <w:t xml:space="preserve"> caused by carelessness, unacceptable </w:t>
      </w:r>
      <w:proofErr w:type="gramStart"/>
      <w:r>
        <w:t>behaviour</w:t>
      </w:r>
      <w:proofErr w:type="gramEnd"/>
      <w:r>
        <w:t xml:space="preserve"> or an intention to break</w:t>
      </w:r>
      <w:r w:rsidR="00CC6AAD">
        <w:t xml:space="preserve"> equipment or the fabric of the building, p</w:t>
      </w:r>
      <w:r>
        <w:t>arents</w:t>
      </w:r>
      <w:r w:rsidR="00CC6AAD">
        <w:t>/carers</w:t>
      </w:r>
      <w:r>
        <w:t xml:space="preserve"> will</w:t>
      </w:r>
      <w:r w:rsidR="00CC6AAD">
        <w:t xml:space="preserve"> </w:t>
      </w:r>
      <w:r>
        <w:t>be asked to pay the cost of</w:t>
      </w:r>
      <w:r w:rsidR="00CC6AAD">
        <w:t xml:space="preserve"> </w:t>
      </w:r>
      <w:r>
        <w:t>repair or replacement. Such charges may be reduced or waived</w:t>
      </w:r>
      <w:r w:rsidR="00CC6AAD">
        <w:t xml:space="preserve"> </w:t>
      </w:r>
      <w:r>
        <w:t>on an individual basis if this is deemed to be appropriate</w:t>
      </w:r>
      <w:r w:rsidR="00CC6AAD">
        <w:t xml:space="preserve"> based on the individual circumstances</w:t>
      </w:r>
      <w:r>
        <w:t>.</w:t>
      </w:r>
    </w:p>
    <w:p w14:paraId="2DC1D1E4" w14:textId="77777777" w:rsidR="00A40942" w:rsidRDefault="00A40942" w:rsidP="00A40942">
      <w:pPr>
        <w:ind w:left="720" w:firstLine="0"/>
      </w:pPr>
    </w:p>
    <w:p w14:paraId="7F9DD544" w14:textId="77777777" w:rsidR="00A40942" w:rsidRDefault="00A40942" w:rsidP="00A40942">
      <w:pPr>
        <w:pStyle w:val="BDOMainHeading2"/>
        <w:jc w:val="left"/>
      </w:pPr>
      <w:r>
        <w:t>Insurance</w:t>
      </w:r>
    </w:p>
    <w:p w14:paraId="650B8FCE" w14:textId="77777777" w:rsidR="00A40942" w:rsidRDefault="00A40942" w:rsidP="00A40942">
      <w:r>
        <w:t>Any insurance costs will be included in charges made for trips or activities.</w:t>
      </w:r>
    </w:p>
    <w:p w14:paraId="0798C6A7" w14:textId="77777777" w:rsidR="009C621F" w:rsidRDefault="009C621F" w:rsidP="00A40942">
      <w:pPr>
        <w:ind w:left="0" w:firstLine="0"/>
      </w:pPr>
    </w:p>
    <w:p w14:paraId="0B09AEF7" w14:textId="77777777" w:rsidR="00C3345D" w:rsidRPr="009C621F" w:rsidRDefault="00C3345D" w:rsidP="009C621F">
      <w:pPr>
        <w:pStyle w:val="BDOMainHeading2"/>
        <w:jc w:val="left"/>
      </w:pPr>
      <w:r w:rsidRPr="009C621F">
        <w:t>Remission of Charges</w:t>
      </w:r>
    </w:p>
    <w:p w14:paraId="0D89F959" w14:textId="77777777" w:rsidR="00C3345D" w:rsidRDefault="00C3345D" w:rsidP="009C621F">
      <w:pPr>
        <w:numPr>
          <w:ilvl w:val="0"/>
          <w:numId w:val="8"/>
        </w:numPr>
      </w:pPr>
      <w:r>
        <w:t>If a year group or curriculum residential activity takes place largely during school time, no</w:t>
      </w:r>
    </w:p>
    <w:p w14:paraId="012F86FB" w14:textId="66B6B4AB" w:rsidR="009C621F" w:rsidRDefault="00C3345D" w:rsidP="009C621F">
      <w:pPr>
        <w:ind w:firstLine="709"/>
      </w:pPr>
      <w:r>
        <w:t xml:space="preserve">charge will be made for </w:t>
      </w:r>
      <w:r w:rsidR="009C621F">
        <w:t xml:space="preserve">students in receipt of </w:t>
      </w:r>
      <w:r>
        <w:t xml:space="preserve">pupil premium. </w:t>
      </w:r>
    </w:p>
    <w:p w14:paraId="1759EEC7" w14:textId="77777777" w:rsidR="009C621F" w:rsidRDefault="009C621F" w:rsidP="009C621F"/>
    <w:p w14:paraId="702A067B" w14:textId="77777777" w:rsidR="009C621F" w:rsidRDefault="009C621F" w:rsidP="009C621F">
      <w:pPr>
        <w:numPr>
          <w:ilvl w:val="0"/>
          <w:numId w:val="8"/>
        </w:numPr>
      </w:pPr>
      <w:r>
        <w:t>In other circumstances, there may be cases of family hardship which make it</w:t>
      </w:r>
    </w:p>
    <w:p w14:paraId="17479F40" w14:textId="77777777" w:rsidR="009C621F" w:rsidRDefault="009C621F" w:rsidP="009C621F">
      <w:pPr>
        <w:ind w:firstLine="709"/>
      </w:pPr>
      <w:r>
        <w:t>difficult for pupils to take part in particular activities for which a charge is made.</w:t>
      </w:r>
    </w:p>
    <w:p w14:paraId="31B50E2D" w14:textId="77777777" w:rsidR="009C621F" w:rsidRDefault="009C621F" w:rsidP="009C621F">
      <w:pPr>
        <w:ind w:firstLine="709"/>
      </w:pPr>
      <w:r>
        <w:t>When arranging a chargeable activity, the school invites parents/carers to</w:t>
      </w:r>
    </w:p>
    <w:p w14:paraId="09EDA978" w14:textId="77777777" w:rsidR="009C621F" w:rsidRDefault="009C621F" w:rsidP="009C621F">
      <w:pPr>
        <w:ind w:firstLine="709"/>
      </w:pPr>
      <w:r>
        <w:t>apply in confidence for the remission of charges in part or in full.</w:t>
      </w:r>
    </w:p>
    <w:p w14:paraId="7D8B2141" w14:textId="6FDD8A9D" w:rsidR="009C621F" w:rsidRDefault="009C621F" w:rsidP="009C621F">
      <w:pPr>
        <w:ind w:firstLine="709"/>
      </w:pPr>
      <w:r>
        <w:t xml:space="preserve">Any concessions made will be at the discretion of the </w:t>
      </w:r>
      <w:proofErr w:type="gramStart"/>
      <w:r>
        <w:t>Principal</w:t>
      </w:r>
      <w:proofErr w:type="gramEnd"/>
      <w:r w:rsidR="00BA05A1">
        <w:t>.</w:t>
      </w:r>
    </w:p>
    <w:p w14:paraId="5D87B173" w14:textId="77777777" w:rsidR="009C621F" w:rsidRDefault="009C621F" w:rsidP="009C621F"/>
    <w:p w14:paraId="39AF65EA" w14:textId="77777777" w:rsidR="00943FF9" w:rsidRDefault="00943FF9" w:rsidP="0083397A"/>
    <w:p w14:paraId="18E59362" w14:textId="77777777" w:rsidR="0083397A" w:rsidRDefault="0083397A" w:rsidP="00D2204B">
      <w:pPr>
        <w:ind w:left="0" w:firstLine="0"/>
        <w:rPr>
          <w:color w:val="auto"/>
          <w:szCs w:val="24"/>
          <w:lang w:val="en-US" w:eastAsia="en-US" w:bidi="en-US"/>
        </w:rPr>
      </w:pPr>
    </w:p>
    <w:p w14:paraId="3A53D41E" w14:textId="77777777" w:rsidR="00D2204B" w:rsidRDefault="00D2204B" w:rsidP="00D2204B">
      <w:pPr>
        <w:ind w:left="0" w:firstLine="0"/>
        <w:rPr>
          <w:color w:val="auto"/>
          <w:szCs w:val="24"/>
          <w:lang w:val="en-US" w:eastAsia="en-US" w:bidi="en-US"/>
        </w:rPr>
      </w:pPr>
    </w:p>
    <w:p w14:paraId="3CFD619C" w14:textId="77777777" w:rsidR="00D2204B" w:rsidRDefault="00D2204B" w:rsidP="00D2204B"/>
    <w:p w14:paraId="5F9667ED" w14:textId="77777777" w:rsidR="00103C05" w:rsidRDefault="00103C05" w:rsidP="00D2204B"/>
    <w:p w14:paraId="281DC92A" w14:textId="77777777" w:rsidR="00103C05" w:rsidRDefault="00103C05" w:rsidP="00103C05"/>
    <w:sectPr w:rsidR="00103C05" w:rsidSect="00A401AA">
      <w:headerReference w:type="even" r:id="rId19"/>
      <w:headerReference w:type="first" r:id="rId20"/>
      <w:footerReference w:type="first" r:id="rId21"/>
      <w:pgSz w:w="11906" w:h="16838"/>
      <w:pgMar w:top="1134" w:right="1134" w:bottom="1021" w:left="1134" w:header="72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54C0" w14:textId="77777777" w:rsidR="000718D0" w:rsidRDefault="000718D0">
      <w:r>
        <w:separator/>
      </w:r>
    </w:p>
  </w:endnote>
  <w:endnote w:type="continuationSeparator" w:id="0">
    <w:p w14:paraId="6AB0905D" w14:textId="77777777" w:rsidR="000718D0" w:rsidRDefault="0007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FF2F" w14:textId="77777777" w:rsidR="00B5324E" w:rsidRPr="00E45B4C" w:rsidRDefault="00B5324E">
    <w:pPr>
      <w:pStyle w:val="Footer"/>
      <w:jc w:val="right"/>
    </w:pPr>
    <w:r w:rsidRPr="00E45B4C">
      <w:t xml:space="preserve">Page </w:t>
    </w:r>
    <w:r w:rsidRPr="00E45B4C">
      <w:fldChar w:fldCharType="begin"/>
    </w:r>
    <w:r w:rsidRPr="00E45B4C">
      <w:instrText xml:space="preserve"> PAGE   \* MERGEFORMAT </w:instrText>
    </w:r>
    <w:r w:rsidRPr="00E45B4C">
      <w:fldChar w:fldCharType="separate"/>
    </w:r>
    <w:r w:rsidR="00F37043">
      <w:rPr>
        <w:noProof/>
      </w:rPr>
      <w:t>12</w:t>
    </w:r>
    <w:r w:rsidRPr="00E45B4C">
      <w:fldChar w:fldCharType="end"/>
    </w:r>
  </w:p>
  <w:p w14:paraId="7F46983E" w14:textId="77777777" w:rsidR="00B5324E" w:rsidRDefault="00B5324E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31C4" w14:textId="77777777" w:rsidR="00B5324E" w:rsidRPr="00E45B4C" w:rsidRDefault="00B5324E">
    <w:pPr>
      <w:pStyle w:val="Footer"/>
      <w:jc w:val="right"/>
    </w:pPr>
    <w:r w:rsidRPr="00E45B4C">
      <w:t xml:space="preserve">Page </w:t>
    </w:r>
    <w:r w:rsidRPr="00E45B4C">
      <w:fldChar w:fldCharType="begin"/>
    </w:r>
    <w:r w:rsidRPr="00E45B4C">
      <w:instrText xml:space="preserve"> PAGE   \* MERGEFORMAT </w:instrText>
    </w:r>
    <w:r w:rsidRPr="00E45B4C">
      <w:fldChar w:fldCharType="separate"/>
    </w:r>
    <w:r w:rsidR="0077155E">
      <w:rPr>
        <w:noProof/>
      </w:rPr>
      <w:t>4</w:t>
    </w:r>
    <w:r w:rsidRPr="00E45B4C">
      <w:fldChar w:fldCharType="end"/>
    </w:r>
  </w:p>
  <w:p w14:paraId="3996FF60" w14:textId="77777777" w:rsidR="00B5324E" w:rsidRDefault="00B5324E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A3D" w14:textId="77777777" w:rsidR="00B5324E" w:rsidRDefault="00B5324E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BF44" w14:textId="77777777" w:rsidR="00A401AA" w:rsidRDefault="00A401A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155E">
      <w:rPr>
        <w:noProof/>
      </w:rPr>
      <w:t>3</w:t>
    </w:r>
    <w:r>
      <w:rPr>
        <w:noProof/>
      </w:rPr>
      <w:fldChar w:fldCharType="end"/>
    </w:r>
  </w:p>
  <w:p w14:paraId="00124EC0" w14:textId="77777777" w:rsidR="00A401AA" w:rsidRDefault="00A401A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70BF" w14:textId="77777777" w:rsidR="000718D0" w:rsidRDefault="000718D0">
      <w:pPr>
        <w:spacing w:line="259" w:lineRule="auto"/>
        <w:ind w:left="0" w:firstLine="0"/>
      </w:pPr>
      <w:r>
        <w:separator/>
      </w:r>
    </w:p>
  </w:footnote>
  <w:footnote w:type="continuationSeparator" w:id="0">
    <w:p w14:paraId="5FECE825" w14:textId="77777777" w:rsidR="000718D0" w:rsidRDefault="000718D0">
      <w:pPr>
        <w:spacing w:line="259" w:lineRule="auto"/>
        <w:ind w:left="0" w:firstLine="0"/>
      </w:pPr>
      <w:r>
        <w:continuationSeparator/>
      </w:r>
    </w:p>
  </w:footnote>
  <w:footnote w:id="1">
    <w:p w14:paraId="76240DFB" w14:textId="77777777" w:rsidR="00F611FE" w:rsidRDefault="00F611FE">
      <w:pPr>
        <w:pStyle w:val="FootnoteText"/>
      </w:pPr>
      <w:r>
        <w:rPr>
          <w:rStyle w:val="FootnoteReference"/>
        </w:rPr>
        <w:footnoteRef/>
      </w:r>
      <w:r>
        <w:t xml:space="preserve"> Referred to at the ‘Trust’ or ‘Bright Futures th</w:t>
      </w:r>
      <w:r w:rsidR="0077155E">
        <w:t>r</w:t>
      </w:r>
      <w:r>
        <w:t>oug</w:t>
      </w:r>
      <w:r w:rsidR="0077155E">
        <w:t>h</w:t>
      </w:r>
      <w:r>
        <w:t>out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7B5A" w14:textId="77777777" w:rsidR="00B5324E" w:rsidRDefault="00B5324E">
    <w:pPr>
      <w:pStyle w:val="Header"/>
    </w:pPr>
    <w:r>
      <w:rPr>
        <w:noProof/>
      </w:rPr>
      <w:pict w14:anchorId="3E2A4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alt="Bright Futures RGB 300dpi" style="position:absolute;left:0;text-align:left;margin-left:430.05pt;margin-top:-11.2pt;width:94.5pt;height:37.25pt;z-index:-251658752;visibility:visible" wrapcoords="-109 0 -109 21323 21600 21323 21600 0 -109 0">
          <v:imagedata r:id="rId1" o:title="Bright Futures RGB 300dpi"/>
          <w10:wrap type="tight"/>
        </v:shape>
      </w:pict>
    </w:r>
  </w:p>
  <w:p w14:paraId="7ABEEAC8" w14:textId="77777777" w:rsidR="00B5324E" w:rsidRDefault="00B5324E">
    <w:pPr>
      <w:pStyle w:val="Header"/>
    </w:pPr>
  </w:p>
  <w:p w14:paraId="0941F89E" w14:textId="77777777" w:rsidR="00B5324E" w:rsidRDefault="00B5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CAE9" w14:textId="77777777" w:rsidR="00461408" w:rsidRDefault="00461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2B78" w14:textId="77777777" w:rsidR="00B5324E" w:rsidRDefault="007931CE" w:rsidP="007931CE">
    <w:pPr>
      <w:pStyle w:val="Header"/>
      <w:jc w:val="right"/>
    </w:pPr>
    <w:r>
      <w:pict w14:anchorId="2C0D1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2.15pt;height:49.9pt">
          <v:imagedata r:id="rId1" o:title="BFET Logo &amp; Vision Statement"/>
        </v:shape>
      </w:pict>
    </w:r>
  </w:p>
  <w:p w14:paraId="618A435A" w14:textId="77777777" w:rsidR="00B5324E" w:rsidRDefault="00B532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CA5" w14:textId="77777777" w:rsidR="00461408" w:rsidRDefault="004614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FBA1" w14:textId="77777777" w:rsidR="00461408" w:rsidRDefault="004614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F1EB" w14:textId="77777777" w:rsidR="00B5324E" w:rsidRPr="002A4ADC" w:rsidRDefault="00B313F1" w:rsidP="007931CE">
    <w:pPr>
      <w:pStyle w:val="Header"/>
      <w:tabs>
        <w:tab w:val="clear" w:pos="4513"/>
        <w:tab w:val="clear" w:pos="9026"/>
        <w:tab w:val="left" w:pos="2865"/>
      </w:tabs>
      <w:ind w:left="2171"/>
      <w:jc w:val="right"/>
      <w:rPr>
        <w:b/>
        <w:color w:val="ED7D31"/>
        <w:sz w:val="32"/>
        <w:szCs w:val="32"/>
      </w:rPr>
    </w:pPr>
    <w:r>
      <w:pict w14:anchorId="4C888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15pt;height:49.9pt">
          <v:imagedata r:id="rId1" o:title="BFET Logo &amp; Vision Statement"/>
        </v:shape>
      </w:pict>
    </w:r>
    <w:r w:rsidR="00B5324E" w:rsidRPr="002A4ADC">
      <w:rPr>
        <w:b/>
        <w:color w:val="ED7D31"/>
        <w:sz w:val="32"/>
        <w:szCs w:val="32"/>
      </w:rPr>
      <w:tab/>
    </w:r>
  </w:p>
  <w:p w14:paraId="059E8B08" w14:textId="77777777" w:rsidR="00B5324E" w:rsidRDefault="00B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FA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574FE8"/>
    <w:multiLevelType w:val="hybridMultilevel"/>
    <w:tmpl w:val="066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BAF"/>
    <w:multiLevelType w:val="hybridMultilevel"/>
    <w:tmpl w:val="B428D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66F2"/>
    <w:multiLevelType w:val="hybridMultilevel"/>
    <w:tmpl w:val="5D2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E26"/>
    <w:multiLevelType w:val="hybridMultilevel"/>
    <w:tmpl w:val="003A2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5EE6"/>
    <w:multiLevelType w:val="hybridMultilevel"/>
    <w:tmpl w:val="73C4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871"/>
    <w:multiLevelType w:val="hybridMultilevel"/>
    <w:tmpl w:val="00FAE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6631"/>
    <w:multiLevelType w:val="hybridMultilevel"/>
    <w:tmpl w:val="9FF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AE5"/>
    <w:rsid w:val="00010B2D"/>
    <w:rsid w:val="00011A7A"/>
    <w:rsid w:val="00023093"/>
    <w:rsid w:val="000257FA"/>
    <w:rsid w:val="0002770E"/>
    <w:rsid w:val="0003222C"/>
    <w:rsid w:val="000373E9"/>
    <w:rsid w:val="00037467"/>
    <w:rsid w:val="0004235A"/>
    <w:rsid w:val="00044C18"/>
    <w:rsid w:val="00063657"/>
    <w:rsid w:val="00065171"/>
    <w:rsid w:val="000718D0"/>
    <w:rsid w:val="0007280F"/>
    <w:rsid w:val="00074E1D"/>
    <w:rsid w:val="00096F17"/>
    <w:rsid w:val="000A2AD9"/>
    <w:rsid w:val="000A623B"/>
    <w:rsid w:val="000B226D"/>
    <w:rsid w:val="000B3261"/>
    <w:rsid w:val="000B403F"/>
    <w:rsid w:val="000B4D19"/>
    <w:rsid w:val="000C4CB8"/>
    <w:rsid w:val="000C4CC1"/>
    <w:rsid w:val="000C5572"/>
    <w:rsid w:val="000C76F7"/>
    <w:rsid w:val="000D4200"/>
    <w:rsid w:val="000E3D99"/>
    <w:rsid w:val="000E3DC3"/>
    <w:rsid w:val="000E4CB5"/>
    <w:rsid w:val="000E73B9"/>
    <w:rsid w:val="000F64A0"/>
    <w:rsid w:val="00103C05"/>
    <w:rsid w:val="00104CA9"/>
    <w:rsid w:val="00110823"/>
    <w:rsid w:val="0011132B"/>
    <w:rsid w:val="00124F0D"/>
    <w:rsid w:val="001251C7"/>
    <w:rsid w:val="00127747"/>
    <w:rsid w:val="00127C29"/>
    <w:rsid w:val="00132675"/>
    <w:rsid w:val="00134017"/>
    <w:rsid w:val="00147307"/>
    <w:rsid w:val="001568E2"/>
    <w:rsid w:val="00161934"/>
    <w:rsid w:val="00175748"/>
    <w:rsid w:val="0017796D"/>
    <w:rsid w:val="001853FD"/>
    <w:rsid w:val="0019213E"/>
    <w:rsid w:val="00193020"/>
    <w:rsid w:val="001C6476"/>
    <w:rsid w:val="001D2151"/>
    <w:rsid w:val="001F5A26"/>
    <w:rsid w:val="00202956"/>
    <w:rsid w:val="00220298"/>
    <w:rsid w:val="00232A27"/>
    <w:rsid w:val="00241618"/>
    <w:rsid w:val="00241A82"/>
    <w:rsid w:val="00245629"/>
    <w:rsid w:val="002711AB"/>
    <w:rsid w:val="00271FB8"/>
    <w:rsid w:val="002810CF"/>
    <w:rsid w:val="00291B4E"/>
    <w:rsid w:val="00292540"/>
    <w:rsid w:val="00295D72"/>
    <w:rsid w:val="002A1187"/>
    <w:rsid w:val="002A4ADC"/>
    <w:rsid w:val="002A6A02"/>
    <w:rsid w:val="002B4F84"/>
    <w:rsid w:val="002C0C1B"/>
    <w:rsid w:val="002C19C7"/>
    <w:rsid w:val="002D038C"/>
    <w:rsid w:val="002D0E1F"/>
    <w:rsid w:val="002D2AB9"/>
    <w:rsid w:val="002D5174"/>
    <w:rsid w:val="002D6464"/>
    <w:rsid w:val="002E3B17"/>
    <w:rsid w:val="002F19BE"/>
    <w:rsid w:val="002F1AC2"/>
    <w:rsid w:val="002F22D2"/>
    <w:rsid w:val="002F3705"/>
    <w:rsid w:val="002F4E89"/>
    <w:rsid w:val="00301ADD"/>
    <w:rsid w:val="003040D0"/>
    <w:rsid w:val="003114BE"/>
    <w:rsid w:val="003115FF"/>
    <w:rsid w:val="00315185"/>
    <w:rsid w:val="003152F3"/>
    <w:rsid w:val="00315ED6"/>
    <w:rsid w:val="00316EC3"/>
    <w:rsid w:val="0032485F"/>
    <w:rsid w:val="00330573"/>
    <w:rsid w:val="00337A44"/>
    <w:rsid w:val="00340DF5"/>
    <w:rsid w:val="00344187"/>
    <w:rsid w:val="0034495F"/>
    <w:rsid w:val="00347269"/>
    <w:rsid w:val="0035014E"/>
    <w:rsid w:val="00354B9E"/>
    <w:rsid w:val="00363403"/>
    <w:rsid w:val="0036461A"/>
    <w:rsid w:val="00376DCE"/>
    <w:rsid w:val="003946D9"/>
    <w:rsid w:val="003946E9"/>
    <w:rsid w:val="003A0635"/>
    <w:rsid w:val="003A6992"/>
    <w:rsid w:val="003B1648"/>
    <w:rsid w:val="003C3431"/>
    <w:rsid w:val="003C7D52"/>
    <w:rsid w:val="003D4F6C"/>
    <w:rsid w:val="003E2BBA"/>
    <w:rsid w:val="003E54CB"/>
    <w:rsid w:val="003F01B0"/>
    <w:rsid w:val="003F7A97"/>
    <w:rsid w:val="00402791"/>
    <w:rsid w:val="004106A4"/>
    <w:rsid w:val="00423529"/>
    <w:rsid w:val="004243C6"/>
    <w:rsid w:val="00432FAD"/>
    <w:rsid w:val="00441DE0"/>
    <w:rsid w:val="00445482"/>
    <w:rsid w:val="00451992"/>
    <w:rsid w:val="00452B53"/>
    <w:rsid w:val="00456547"/>
    <w:rsid w:val="00461408"/>
    <w:rsid w:val="004807A6"/>
    <w:rsid w:val="00486E65"/>
    <w:rsid w:val="004919A4"/>
    <w:rsid w:val="00496FCF"/>
    <w:rsid w:val="004974AE"/>
    <w:rsid w:val="00497DA7"/>
    <w:rsid w:val="004A0BA9"/>
    <w:rsid w:val="004A18C7"/>
    <w:rsid w:val="004A30E6"/>
    <w:rsid w:val="004A6723"/>
    <w:rsid w:val="004A6944"/>
    <w:rsid w:val="004B0F1C"/>
    <w:rsid w:val="004B39A6"/>
    <w:rsid w:val="004C0A1F"/>
    <w:rsid w:val="004C5100"/>
    <w:rsid w:val="004C5882"/>
    <w:rsid w:val="004D1568"/>
    <w:rsid w:val="004D221A"/>
    <w:rsid w:val="004E1D40"/>
    <w:rsid w:val="004E23A0"/>
    <w:rsid w:val="004E73EB"/>
    <w:rsid w:val="004F087D"/>
    <w:rsid w:val="004F21CF"/>
    <w:rsid w:val="004F3D86"/>
    <w:rsid w:val="004F453B"/>
    <w:rsid w:val="00500396"/>
    <w:rsid w:val="00511527"/>
    <w:rsid w:val="00521771"/>
    <w:rsid w:val="005232AD"/>
    <w:rsid w:val="00534611"/>
    <w:rsid w:val="00537598"/>
    <w:rsid w:val="00545085"/>
    <w:rsid w:val="00545262"/>
    <w:rsid w:val="00550999"/>
    <w:rsid w:val="005613F7"/>
    <w:rsid w:val="005641B9"/>
    <w:rsid w:val="00565A04"/>
    <w:rsid w:val="0057126E"/>
    <w:rsid w:val="00575FCD"/>
    <w:rsid w:val="00583F15"/>
    <w:rsid w:val="005846F2"/>
    <w:rsid w:val="005866FA"/>
    <w:rsid w:val="00587B59"/>
    <w:rsid w:val="005913AB"/>
    <w:rsid w:val="00593789"/>
    <w:rsid w:val="00594D3F"/>
    <w:rsid w:val="005967EB"/>
    <w:rsid w:val="005A56E3"/>
    <w:rsid w:val="005A5F32"/>
    <w:rsid w:val="005A628F"/>
    <w:rsid w:val="005C733B"/>
    <w:rsid w:val="005D0EFE"/>
    <w:rsid w:val="005D2ADD"/>
    <w:rsid w:val="005D2EF0"/>
    <w:rsid w:val="005D5AE3"/>
    <w:rsid w:val="005E0073"/>
    <w:rsid w:val="005E1719"/>
    <w:rsid w:val="005E267F"/>
    <w:rsid w:val="005E2BD7"/>
    <w:rsid w:val="005F03A2"/>
    <w:rsid w:val="005F0838"/>
    <w:rsid w:val="00601060"/>
    <w:rsid w:val="00604BA0"/>
    <w:rsid w:val="0061791D"/>
    <w:rsid w:val="00621090"/>
    <w:rsid w:val="00631B96"/>
    <w:rsid w:val="0063332E"/>
    <w:rsid w:val="006371C4"/>
    <w:rsid w:val="00650AEA"/>
    <w:rsid w:val="0066052E"/>
    <w:rsid w:val="0066473B"/>
    <w:rsid w:val="006657E8"/>
    <w:rsid w:val="00675504"/>
    <w:rsid w:val="006812EE"/>
    <w:rsid w:val="0068220F"/>
    <w:rsid w:val="00685C1F"/>
    <w:rsid w:val="00686857"/>
    <w:rsid w:val="00690C6A"/>
    <w:rsid w:val="006A353C"/>
    <w:rsid w:val="006B1152"/>
    <w:rsid w:val="006D07AC"/>
    <w:rsid w:val="006E53FB"/>
    <w:rsid w:val="006E71FA"/>
    <w:rsid w:val="006F33D7"/>
    <w:rsid w:val="006F43D3"/>
    <w:rsid w:val="006F72EA"/>
    <w:rsid w:val="00723281"/>
    <w:rsid w:val="00724AB6"/>
    <w:rsid w:val="0073267E"/>
    <w:rsid w:val="007374F3"/>
    <w:rsid w:val="00737704"/>
    <w:rsid w:val="00763006"/>
    <w:rsid w:val="00766C17"/>
    <w:rsid w:val="00770EA1"/>
    <w:rsid w:val="00771332"/>
    <w:rsid w:val="0077155E"/>
    <w:rsid w:val="007776ED"/>
    <w:rsid w:val="00791DD3"/>
    <w:rsid w:val="007925F8"/>
    <w:rsid w:val="007931CE"/>
    <w:rsid w:val="007931DE"/>
    <w:rsid w:val="00795171"/>
    <w:rsid w:val="007A38D5"/>
    <w:rsid w:val="007B3804"/>
    <w:rsid w:val="007C12F6"/>
    <w:rsid w:val="007C6FEF"/>
    <w:rsid w:val="007D1667"/>
    <w:rsid w:val="007D2DD1"/>
    <w:rsid w:val="007D5D56"/>
    <w:rsid w:val="007D7DA7"/>
    <w:rsid w:val="007E1CA0"/>
    <w:rsid w:val="007F1AF6"/>
    <w:rsid w:val="007F446E"/>
    <w:rsid w:val="007F6435"/>
    <w:rsid w:val="00811CD9"/>
    <w:rsid w:val="008132FF"/>
    <w:rsid w:val="00813D1C"/>
    <w:rsid w:val="00817AF6"/>
    <w:rsid w:val="00824FC7"/>
    <w:rsid w:val="0083397A"/>
    <w:rsid w:val="00833CDB"/>
    <w:rsid w:val="008352EC"/>
    <w:rsid w:val="0084089D"/>
    <w:rsid w:val="00843196"/>
    <w:rsid w:val="00850667"/>
    <w:rsid w:val="00855B5C"/>
    <w:rsid w:val="008672FD"/>
    <w:rsid w:val="00867767"/>
    <w:rsid w:val="008741C8"/>
    <w:rsid w:val="008931EF"/>
    <w:rsid w:val="008938C4"/>
    <w:rsid w:val="00895CD5"/>
    <w:rsid w:val="008A06C0"/>
    <w:rsid w:val="008A5617"/>
    <w:rsid w:val="008B0A96"/>
    <w:rsid w:val="008B513C"/>
    <w:rsid w:val="008B658B"/>
    <w:rsid w:val="008C29CF"/>
    <w:rsid w:val="008C5D13"/>
    <w:rsid w:val="008C69D3"/>
    <w:rsid w:val="008D50C5"/>
    <w:rsid w:val="008D5D2B"/>
    <w:rsid w:val="008D6EBE"/>
    <w:rsid w:val="008D751D"/>
    <w:rsid w:val="008E6559"/>
    <w:rsid w:val="008F2F47"/>
    <w:rsid w:val="00910403"/>
    <w:rsid w:val="00911F67"/>
    <w:rsid w:val="009168A6"/>
    <w:rsid w:val="00921852"/>
    <w:rsid w:val="0092328A"/>
    <w:rsid w:val="00943FF9"/>
    <w:rsid w:val="00945269"/>
    <w:rsid w:val="00945DFD"/>
    <w:rsid w:val="00955C48"/>
    <w:rsid w:val="00962AE5"/>
    <w:rsid w:val="00967F19"/>
    <w:rsid w:val="00972F8A"/>
    <w:rsid w:val="0097555D"/>
    <w:rsid w:val="00976836"/>
    <w:rsid w:val="0098099D"/>
    <w:rsid w:val="009813A3"/>
    <w:rsid w:val="00986F6F"/>
    <w:rsid w:val="009A52E9"/>
    <w:rsid w:val="009B34EE"/>
    <w:rsid w:val="009B6366"/>
    <w:rsid w:val="009B6945"/>
    <w:rsid w:val="009C0156"/>
    <w:rsid w:val="009C4E17"/>
    <w:rsid w:val="009C621F"/>
    <w:rsid w:val="009C7D77"/>
    <w:rsid w:val="009D1484"/>
    <w:rsid w:val="009F0C22"/>
    <w:rsid w:val="00A04004"/>
    <w:rsid w:val="00A22893"/>
    <w:rsid w:val="00A22999"/>
    <w:rsid w:val="00A266CD"/>
    <w:rsid w:val="00A3172C"/>
    <w:rsid w:val="00A35943"/>
    <w:rsid w:val="00A37023"/>
    <w:rsid w:val="00A401AA"/>
    <w:rsid w:val="00A40942"/>
    <w:rsid w:val="00A42FBA"/>
    <w:rsid w:val="00A5307D"/>
    <w:rsid w:val="00A54112"/>
    <w:rsid w:val="00A548FE"/>
    <w:rsid w:val="00A624AD"/>
    <w:rsid w:val="00A7291D"/>
    <w:rsid w:val="00A81D6A"/>
    <w:rsid w:val="00A87602"/>
    <w:rsid w:val="00A911E8"/>
    <w:rsid w:val="00A94690"/>
    <w:rsid w:val="00A9663A"/>
    <w:rsid w:val="00AA7AE1"/>
    <w:rsid w:val="00AB6267"/>
    <w:rsid w:val="00AD2EB4"/>
    <w:rsid w:val="00AD6D22"/>
    <w:rsid w:val="00AE3D72"/>
    <w:rsid w:val="00AE3F82"/>
    <w:rsid w:val="00AE419A"/>
    <w:rsid w:val="00AF677E"/>
    <w:rsid w:val="00B03445"/>
    <w:rsid w:val="00B07EBA"/>
    <w:rsid w:val="00B11D84"/>
    <w:rsid w:val="00B134E8"/>
    <w:rsid w:val="00B17259"/>
    <w:rsid w:val="00B23634"/>
    <w:rsid w:val="00B2385D"/>
    <w:rsid w:val="00B313F1"/>
    <w:rsid w:val="00B3372A"/>
    <w:rsid w:val="00B35292"/>
    <w:rsid w:val="00B42B3A"/>
    <w:rsid w:val="00B46115"/>
    <w:rsid w:val="00B5324E"/>
    <w:rsid w:val="00B62BE0"/>
    <w:rsid w:val="00B64F5F"/>
    <w:rsid w:val="00B73230"/>
    <w:rsid w:val="00B73D3A"/>
    <w:rsid w:val="00B801D2"/>
    <w:rsid w:val="00B808E0"/>
    <w:rsid w:val="00B828C6"/>
    <w:rsid w:val="00B854F8"/>
    <w:rsid w:val="00B86312"/>
    <w:rsid w:val="00B91D17"/>
    <w:rsid w:val="00B95752"/>
    <w:rsid w:val="00BA05A1"/>
    <w:rsid w:val="00BA3962"/>
    <w:rsid w:val="00BC7202"/>
    <w:rsid w:val="00BC74C4"/>
    <w:rsid w:val="00BD13F8"/>
    <w:rsid w:val="00BD6715"/>
    <w:rsid w:val="00BE0EF1"/>
    <w:rsid w:val="00BE2572"/>
    <w:rsid w:val="00BE61E6"/>
    <w:rsid w:val="00BE6E11"/>
    <w:rsid w:val="00BF168C"/>
    <w:rsid w:val="00BF2BD8"/>
    <w:rsid w:val="00BF5728"/>
    <w:rsid w:val="00C00D2E"/>
    <w:rsid w:val="00C0107E"/>
    <w:rsid w:val="00C0379A"/>
    <w:rsid w:val="00C11ED3"/>
    <w:rsid w:val="00C133F3"/>
    <w:rsid w:val="00C17711"/>
    <w:rsid w:val="00C2134C"/>
    <w:rsid w:val="00C25A26"/>
    <w:rsid w:val="00C26296"/>
    <w:rsid w:val="00C2672C"/>
    <w:rsid w:val="00C2743D"/>
    <w:rsid w:val="00C3345D"/>
    <w:rsid w:val="00C42797"/>
    <w:rsid w:val="00C55F63"/>
    <w:rsid w:val="00C569C8"/>
    <w:rsid w:val="00C60F4A"/>
    <w:rsid w:val="00C65C33"/>
    <w:rsid w:val="00C92CAA"/>
    <w:rsid w:val="00CA5BF5"/>
    <w:rsid w:val="00CB3648"/>
    <w:rsid w:val="00CC6AAD"/>
    <w:rsid w:val="00CD0A93"/>
    <w:rsid w:val="00CD4125"/>
    <w:rsid w:val="00CD6097"/>
    <w:rsid w:val="00CE5C99"/>
    <w:rsid w:val="00CE63AD"/>
    <w:rsid w:val="00CE7C95"/>
    <w:rsid w:val="00CF2C5A"/>
    <w:rsid w:val="00D008FE"/>
    <w:rsid w:val="00D20666"/>
    <w:rsid w:val="00D2204B"/>
    <w:rsid w:val="00D2311B"/>
    <w:rsid w:val="00D270DB"/>
    <w:rsid w:val="00D434E7"/>
    <w:rsid w:val="00D50586"/>
    <w:rsid w:val="00D51138"/>
    <w:rsid w:val="00D53265"/>
    <w:rsid w:val="00D53E54"/>
    <w:rsid w:val="00D550B6"/>
    <w:rsid w:val="00D60C6D"/>
    <w:rsid w:val="00D619D9"/>
    <w:rsid w:val="00D657E6"/>
    <w:rsid w:val="00D67FB9"/>
    <w:rsid w:val="00D730AD"/>
    <w:rsid w:val="00D76454"/>
    <w:rsid w:val="00D957B2"/>
    <w:rsid w:val="00DA1559"/>
    <w:rsid w:val="00DC6E47"/>
    <w:rsid w:val="00DD4C8D"/>
    <w:rsid w:val="00DD542D"/>
    <w:rsid w:val="00DE669C"/>
    <w:rsid w:val="00DF0FA3"/>
    <w:rsid w:val="00DF2A79"/>
    <w:rsid w:val="00DF7D41"/>
    <w:rsid w:val="00E068DA"/>
    <w:rsid w:val="00E14C8A"/>
    <w:rsid w:val="00E17878"/>
    <w:rsid w:val="00E23AD3"/>
    <w:rsid w:val="00E25CB7"/>
    <w:rsid w:val="00E353E7"/>
    <w:rsid w:val="00E368B8"/>
    <w:rsid w:val="00E377E8"/>
    <w:rsid w:val="00E37C8B"/>
    <w:rsid w:val="00E45B4C"/>
    <w:rsid w:val="00E52CA9"/>
    <w:rsid w:val="00E5458F"/>
    <w:rsid w:val="00E54D5E"/>
    <w:rsid w:val="00E5732E"/>
    <w:rsid w:val="00E604B9"/>
    <w:rsid w:val="00E64B3D"/>
    <w:rsid w:val="00E66720"/>
    <w:rsid w:val="00E71484"/>
    <w:rsid w:val="00E7283F"/>
    <w:rsid w:val="00E73094"/>
    <w:rsid w:val="00E74128"/>
    <w:rsid w:val="00E8437B"/>
    <w:rsid w:val="00E85475"/>
    <w:rsid w:val="00E9454E"/>
    <w:rsid w:val="00EA3D42"/>
    <w:rsid w:val="00EA6BA8"/>
    <w:rsid w:val="00EB4B92"/>
    <w:rsid w:val="00EB6B1A"/>
    <w:rsid w:val="00EC34B1"/>
    <w:rsid w:val="00EC4341"/>
    <w:rsid w:val="00EC628E"/>
    <w:rsid w:val="00EC69F9"/>
    <w:rsid w:val="00ED4369"/>
    <w:rsid w:val="00ED6D06"/>
    <w:rsid w:val="00EF5BE4"/>
    <w:rsid w:val="00EF7660"/>
    <w:rsid w:val="00F04871"/>
    <w:rsid w:val="00F0799B"/>
    <w:rsid w:val="00F10397"/>
    <w:rsid w:val="00F21E94"/>
    <w:rsid w:val="00F22DDE"/>
    <w:rsid w:val="00F30B87"/>
    <w:rsid w:val="00F3588B"/>
    <w:rsid w:val="00F37043"/>
    <w:rsid w:val="00F426CC"/>
    <w:rsid w:val="00F43ECD"/>
    <w:rsid w:val="00F54D23"/>
    <w:rsid w:val="00F611FE"/>
    <w:rsid w:val="00F62966"/>
    <w:rsid w:val="00F71336"/>
    <w:rsid w:val="00F768ED"/>
    <w:rsid w:val="00F80199"/>
    <w:rsid w:val="00F82C3A"/>
    <w:rsid w:val="00F838FD"/>
    <w:rsid w:val="00F84177"/>
    <w:rsid w:val="00F930C8"/>
    <w:rsid w:val="00FA10BC"/>
    <w:rsid w:val="00FA1FAD"/>
    <w:rsid w:val="00FA2314"/>
    <w:rsid w:val="00FC08CF"/>
    <w:rsid w:val="00FC1961"/>
    <w:rsid w:val="00FC4557"/>
    <w:rsid w:val="00FD28E3"/>
    <w:rsid w:val="00FD31CA"/>
    <w:rsid w:val="00FD48CB"/>
    <w:rsid w:val="00FD639A"/>
    <w:rsid w:val="00FE3683"/>
    <w:rsid w:val="00FE46A2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D915C22"/>
  <w15:chartTrackingRefBased/>
  <w15:docId w15:val="{B71559F1-846F-41A4-B5CA-D03504A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AB"/>
    <w:pPr>
      <w:ind w:left="11" w:hanging="11"/>
      <w:jc w:val="both"/>
    </w:pPr>
    <w:rPr>
      <w:rFonts w:eastAsia="Calibri" w:cs="Calibri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5E0073"/>
    <w:pPr>
      <w:keepNext/>
      <w:keepLines/>
      <w:spacing w:line="259" w:lineRule="auto"/>
      <w:ind w:left="10" w:hanging="10"/>
      <w:outlineLvl w:val="0"/>
    </w:pPr>
    <w:rPr>
      <w:rFonts w:eastAsia="Calibri"/>
      <w:b/>
      <w:color w:val="ED7D31"/>
      <w:sz w:val="32"/>
      <w:szCs w:val="22"/>
    </w:rPr>
  </w:style>
  <w:style w:type="paragraph" w:styleId="Heading2">
    <w:name w:val="heading 2"/>
    <w:next w:val="Normal"/>
    <w:link w:val="Heading2Char"/>
    <w:unhideWhenUsed/>
    <w:qFormat/>
    <w:rsid w:val="007E1CA0"/>
    <w:pPr>
      <w:keepNext/>
      <w:keepLines/>
      <w:spacing w:after="97" w:line="259" w:lineRule="auto"/>
      <w:ind w:left="10" w:hanging="10"/>
      <w:outlineLvl w:val="1"/>
    </w:pPr>
    <w:rPr>
      <w:rFonts w:eastAsia="Calibri"/>
      <w:b/>
      <w:color w:val="ED7D31"/>
      <w:sz w:val="24"/>
      <w:szCs w:val="22"/>
    </w:rPr>
  </w:style>
  <w:style w:type="paragraph" w:styleId="Heading3">
    <w:name w:val="heading 3"/>
    <w:next w:val="Normal"/>
    <w:link w:val="Heading3Char"/>
    <w:unhideWhenUsed/>
    <w:qFormat/>
    <w:rsid w:val="004A30E6"/>
    <w:pPr>
      <w:keepNext/>
      <w:keepLines/>
      <w:spacing w:after="144" w:line="259" w:lineRule="auto"/>
      <w:ind w:left="10" w:hanging="10"/>
      <w:outlineLvl w:val="2"/>
    </w:pPr>
    <w:rPr>
      <w:rFonts w:eastAsia="Calibri"/>
      <w:b/>
      <w:color w:val="C40011"/>
      <w:sz w:val="28"/>
      <w:szCs w:val="22"/>
    </w:rPr>
  </w:style>
  <w:style w:type="paragraph" w:styleId="Heading4">
    <w:name w:val="heading 4"/>
    <w:next w:val="Normal"/>
    <w:link w:val="Heading4Char"/>
    <w:unhideWhenUsed/>
    <w:qFormat/>
    <w:rsid w:val="004A30E6"/>
    <w:pPr>
      <w:keepNext/>
      <w:keepLines/>
      <w:spacing w:before="322" w:after="85" w:line="300" w:lineRule="auto"/>
      <w:ind w:left="10" w:hanging="10"/>
      <w:jc w:val="both"/>
      <w:outlineLvl w:val="3"/>
    </w:pPr>
    <w:rPr>
      <w:rFonts w:eastAsia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A30E6"/>
    <w:rPr>
      <w:rFonts w:eastAsia="Calibri"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rsid w:val="004A30E6"/>
    <w:rPr>
      <w:rFonts w:eastAsia="Calibri"/>
      <w:b/>
      <w:color w:val="C40011"/>
      <w:sz w:val="28"/>
      <w:szCs w:val="22"/>
      <w:lang w:bidi="ar-SA"/>
    </w:rPr>
  </w:style>
  <w:style w:type="character" w:customStyle="1" w:styleId="Heading2Char">
    <w:name w:val="Heading 2 Char"/>
    <w:link w:val="Heading2"/>
    <w:rsid w:val="007E1CA0"/>
    <w:rPr>
      <w:rFonts w:eastAsia="Calibri"/>
      <w:b/>
      <w:color w:val="ED7D31"/>
      <w:sz w:val="24"/>
      <w:szCs w:val="22"/>
      <w:lang w:bidi="ar-SA"/>
    </w:rPr>
  </w:style>
  <w:style w:type="character" w:customStyle="1" w:styleId="Heading1Char">
    <w:name w:val="Heading 1 Char"/>
    <w:link w:val="Heading1"/>
    <w:rsid w:val="005E0073"/>
    <w:rPr>
      <w:rFonts w:eastAsia="Calibri"/>
      <w:b/>
      <w:color w:val="ED7D31"/>
      <w:sz w:val="32"/>
      <w:szCs w:val="22"/>
      <w:lang w:bidi="ar-SA"/>
    </w:rPr>
  </w:style>
  <w:style w:type="paragraph" w:customStyle="1" w:styleId="footnotedescription">
    <w:name w:val="footnote description"/>
    <w:next w:val="Normal"/>
    <w:link w:val="footnotedescriptionChar"/>
    <w:hidden/>
    <w:rsid w:val="004A30E6"/>
    <w:pPr>
      <w:spacing w:after="160" w:line="259" w:lineRule="auto"/>
    </w:pPr>
    <w:rPr>
      <w:rFonts w:eastAsia="Calibri"/>
      <w:color w:val="000000"/>
      <w:sz w:val="14"/>
      <w:szCs w:val="22"/>
    </w:rPr>
  </w:style>
  <w:style w:type="character" w:customStyle="1" w:styleId="footnotedescriptionChar">
    <w:name w:val="footnote description Char"/>
    <w:link w:val="footnotedescription"/>
    <w:rsid w:val="004A30E6"/>
    <w:rPr>
      <w:rFonts w:eastAsia="Calibri"/>
      <w:color w:val="000000"/>
      <w:sz w:val="14"/>
      <w:szCs w:val="22"/>
      <w:lang w:bidi="ar-SA"/>
    </w:rPr>
  </w:style>
  <w:style w:type="character" w:customStyle="1" w:styleId="footnotemark">
    <w:name w:val="footnote mark"/>
    <w:hidden/>
    <w:rsid w:val="004A30E6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4A30E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EA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0EA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69C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669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23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801D2"/>
    <w:pPr>
      <w:tabs>
        <w:tab w:val="center" w:pos="4680"/>
        <w:tab w:val="right" w:pos="9360"/>
      </w:tabs>
      <w:ind w:left="0" w:firstLine="0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B801D2"/>
    <w:rPr>
      <w:rFonts w:cs="Times New Roman"/>
      <w:lang w:val="en-US" w:eastAsia="en-US"/>
    </w:rPr>
  </w:style>
  <w:style w:type="paragraph" w:customStyle="1" w:styleId="BDOMainHeading2">
    <w:name w:val="BDOMainHeading2"/>
    <w:next w:val="Normal"/>
    <w:qFormat/>
    <w:rsid w:val="004D221A"/>
    <w:pPr>
      <w:spacing w:before="240" w:after="240"/>
      <w:jc w:val="center"/>
    </w:pPr>
    <w:rPr>
      <w:b/>
      <w:color w:val="F79646"/>
      <w:kern w:val="16"/>
      <w:sz w:val="32"/>
      <w:lang w:val="en-US" w:eastAsia="en-US" w:bidi="en-US"/>
    </w:rPr>
  </w:style>
  <w:style w:type="table" w:styleId="TableGrid0">
    <w:name w:val="Table Grid"/>
    <w:basedOn w:val="TableNormal"/>
    <w:uiPriority w:val="39"/>
    <w:rsid w:val="00975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B403F"/>
    <w:rPr>
      <w:rFonts w:eastAsia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E0EF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00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2E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00D2E"/>
    <w:rPr>
      <w:rFonts w:eastAsia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D2E"/>
    <w:rPr>
      <w:rFonts w:eastAsia="Calibri" w:cs="Calibri"/>
      <w:b/>
      <w:bCs/>
      <w:color w:val="000000"/>
    </w:rPr>
  </w:style>
  <w:style w:type="paragraph" w:customStyle="1" w:styleId="Default">
    <w:name w:val="Default"/>
    <w:rsid w:val="00CF2C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53E54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11FE"/>
    <w:rPr>
      <w:rFonts w:eastAsia="Calibri" w:cs="Calibri"/>
      <w:color w:val="000000"/>
    </w:rPr>
  </w:style>
  <w:style w:type="character" w:styleId="FootnoteReference">
    <w:name w:val="footnote reference"/>
    <w:uiPriority w:val="99"/>
    <w:semiHidden/>
    <w:unhideWhenUsed/>
    <w:rsid w:val="00F61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484CE421404ABCBEAD99BD242F0C" ma:contentTypeVersion="56" ma:contentTypeDescription="Create a new document." ma:contentTypeScope="" ma:versionID="4dab977ff1791dd18a67a0a1dcff7490">
  <xsd:schema xmlns:xsd="http://www.w3.org/2001/XMLSchema" xmlns:xs="http://www.w3.org/2001/XMLSchema" xmlns:p="http://schemas.microsoft.com/office/2006/metadata/properties" xmlns:ns2="2eb44a6a-ffaa-4ff6-9572-4a5b13a7d371" xmlns:ns3="562a4576-3604-4c1d-98a6-0658940f6a3c" targetNamespace="http://schemas.microsoft.com/office/2006/metadata/properties" ma:root="true" ma:fieldsID="fe94ac901c1dc1aeea2a9e0c50c33356" ns2:_="" ns3:_="">
    <xsd:import namespace="2eb44a6a-ffaa-4ff6-9572-4a5b13a7d371"/>
    <xsd:import namespace="562a4576-3604-4c1d-98a6-0658940f6a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SharedWithUsers" minOccurs="0"/>
                <xsd:element ref="ns3:SharedWithDetails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_Dirty" minOccurs="0"/>
                <xsd:element ref="ns3:AccessPolicy" minOccurs="0"/>
                <xsd:element ref="ns3:InstanceID" minOccurs="0"/>
                <xsd:element ref="ns3:WorkflowInstance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4576-3604-4c1d-98a6-0658940f6a3c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0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1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2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3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4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5" nillable="true" ma:displayName="_SourceUrl" ma:hidden="true" ma:internalName="_SourceUrl0">
      <xsd:simpleType>
        <xsd:restriction base="dms:Text"/>
      </xsd:simpleType>
    </xsd:element>
    <xsd:element name="_SharedFileIndex" ma:index="16" nillable="true" ma:displayName="_SharedFileIndex" ma:hidden="true" ma:internalName="_SharedFileIndex0">
      <xsd:simpleType>
        <xsd:restriction base="dms:Text"/>
      </xsd:simpleType>
    </xsd:element>
    <xsd:element name="TemplateUrl" ma:index="18" nillable="true" ma:displayName="TemplateUrl" ma:hidden="true" ma:internalName="TemplateUrl0">
      <xsd:simpleType>
        <xsd:restriction base="dms:Text"/>
      </xsd:simpleType>
    </xsd:element>
    <xsd:element name="xd_ProgID" ma:index="19" nillable="true" ma:displayName="xd_ProgID" ma:hidden="true" ma:internalName="xd_ProgID0">
      <xsd:simpleType>
        <xsd:restriction base="dms:Text"/>
      </xsd:simpleType>
    </xsd:element>
    <xsd:element name="xd_Signature" ma:index="20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1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2" nillable="true" ma:displayName="_ShortcutSiteId" ma:hidden="true" ma:internalName="_ShortcutSiteId0">
      <xsd:simpleType>
        <xsd:restriction base="dms:Unknown"/>
      </xsd:simpleType>
    </xsd:element>
    <xsd:element name="_ShortcutWebId" ma:index="23" nillable="true" ma:displayName="_ShortcutWebId" ma:hidden="true" ma:internalName="_ShortcutWebId0">
      <xsd:simpleType>
        <xsd:restriction base="dms:Unknown"/>
      </xsd:simpleType>
    </xsd:element>
    <xsd:element name="_ShortcutUniqueId" ma:index="24" nillable="true" ma:displayName="_ShortcutUniqueId" ma:hidden="true" ma:internalName="_ShortcutUniqueId0">
      <xsd:simpleType>
        <xsd:restriction base="dms:Unknown"/>
      </xsd:simpleType>
    </xsd:element>
    <xsd:element name="SharedWithUsers" ma:index="25" nillable="true" ma:displayName="SharedWithUsers" ma:description="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WithDetails" ma:description="" ma:internalName="SharedWithDetails0" ma:readOnly="true">
      <xsd:simpleType>
        <xsd:restriction base="dms:Note">
          <xsd:maxLength value="255"/>
        </xsd:restriction>
      </xsd:simpleType>
    </xsd:element>
    <xsd:element name="ID" ma:index="27" nillable="true" ma:displayName="ID" ma:internalName="ID0" ma:readOnly="true">
      <xsd:simpleType>
        <xsd:restriction base="dms:Unknown"/>
      </xsd:simpleType>
    </xsd:element>
    <xsd:element name="Author" ma:index="29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0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1" nillable="true" ma:displayName="_CopySource" ma:description="" ma:internalName="_CopySource0" ma:readOnly="true">
      <xsd:simpleType>
        <xsd:restriction base="dms:Text"/>
      </xsd:simpleType>
    </xsd:element>
    <xsd:element name="File_x0020_Size" ma:index="32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3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4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5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6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7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39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0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1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2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3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4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5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_Dirty" ma:index="47" nillable="true" ma:displayName="_Dirty" ma:hidden="true" ma:list="Docs" ma:internalName="_Dirty0" ma:readOnly="true" ma:showField="Dirty">
      <xsd:simpleType>
        <xsd:restriction base="dms:Lookup"/>
      </xsd:simpleType>
    </xsd:element>
    <xsd:element name="AccessPolicy" ma:index="48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0" nillable="true" ma:displayName="InstanceID" ma:hidden="true" ma:internalName="InstanceID0" ma:readOnly="true">
      <xsd:simpleType>
        <xsd:restriction base="dms:Unknown"/>
      </xsd:simpleType>
    </xsd:element>
    <xsd:element name="WorkflowInstanceID" ma:index="51" nillable="true" ma:displayName="WorkflowInstanceID" ma:hidden="true" ma:internalName="WorkflowInstanceID0" ma:readOnly="true">
      <xsd:simpleType>
        <xsd:restriction base="dms:Unknown"/>
      </xsd:simpleType>
    </xsd:element>
    <xsd:element name="MediaServiceMetadata" ma:index="5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5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5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562a4576-3604-4c1d-98a6-0658940f6a3c" xsi:nil="true"/>
    <TemplateUrl xmlns="562a4576-3604-4c1d-98a6-0658940f6a3c" xsi:nil="true"/>
    <_ShortcutUrl xmlns="562a4576-3604-4c1d-98a6-0658940f6a3c">
      <Url xsi:nil="true"/>
      <Description xsi:nil="true"/>
    </_ShortcutUrl>
    <_ShortcutSiteId xmlns="562a4576-3604-4c1d-98a6-0658940f6a3c" xsi:nil="true"/>
    <_ShortcutWebId xmlns="562a4576-3604-4c1d-98a6-0658940f6a3c" xsi:nil="true"/>
    <_ShortcutUniqueId xmlns="562a4576-3604-4c1d-98a6-0658940f6a3c" xsi:nil="true"/>
    <xd_ProgID xmlns="562a4576-3604-4c1d-98a6-0658940f6a3c" xsi:nil="true"/>
    <_SourceUrl xmlns="562a4576-3604-4c1d-98a6-0658940f6a3c" xsi:nil="true"/>
  </documentManagement>
</p:properties>
</file>

<file path=customXml/itemProps1.xml><?xml version="1.0" encoding="utf-8"?>
<ds:datastoreItem xmlns:ds="http://schemas.openxmlformats.org/officeDocument/2006/customXml" ds:itemID="{E5ECC24D-599C-448E-8DE5-1D586B5A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13E83-5438-493D-B72E-F59CDE19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562a4576-3604-4c1d-98a6-0658940f6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9FBFB-9ADB-4623-AFB7-A8C10AFD6C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BCC5F-B87F-4A77-95F7-EAE985950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and Fair recruitment August 18 review</vt:lpstr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and Fair recruitment August 18 review</dc:title>
  <dc:subject/>
  <dc:creator>HM Treasury</dc:creator>
  <cp:keywords>PU1526; HM Treasury Group travel and expenses policy</cp:keywords>
  <cp:lastModifiedBy>K Hodgson</cp:lastModifiedBy>
  <cp:revision>2</cp:revision>
  <cp:lastPrinted>2016-10-27T11:05:00Z</cp:lastPrinted>
  <dcterms:created xsi:type="dcterms:W3CDTF">2021-11-21T12:34:00Z</dcterms:created>
  <dcterms:modified xsi:type="dcterms:W3CDTF">2021-11-21T12:34:00Z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iteDocRef">
    <vt:lpwstr>134000393.1</vt:lpwstr>
  </property>
  <property fmtid="{D5CDD505-2E9C-101B-9397-08002B2CF9AE}" pid="3" name="Title">
    <vt:lpwstr>Safer Recruitment  April 2015 updated Final June 2015 (2)</vt:lpwstr>
  </property>
  <property fmtid="{D5CDD505-2E9C-101B-9397-08002B2CF9AE}" pid="4" name="Subject">
    <vt:lpwstr>General Employment Advice</vt:lpwstr>
  </property>
  <property fmtid="{D5CDD505-2E9C-101B-9397-08002B2CF9AE}" pid="5" name="Author">
    <vt:lpwstr>Marion Corish</vt:lpwstr>
  </property>
  <property fmtid="{D5CDD505-2E9C-101B-9397-08002B2CF9AE}" pid="6" name="Manager">
    <vt:lpwstr>DXR</vt:lpwstr>
  </property>
  <property fmtid="{D5CDD505-2E9C-101B-9397-08002B2CF9AE}" pid="7" name="Category">
    <vt:lpwstr>Document</vt:lpwstr>
  </property>
  <property fmtid="{D5CDD505-2E9C-101B-9397-08002B2CF9AE}" pid="8" name="ClientNo">
    <vt:lpwstr>12001000</vt:lpwstr>
  </property>
  <property fmtid="{D5CDD505-2E9C-101B-9397-08002B2CF9AE}" pid="9" name="MatterNo">
    <vt:lpwstr>8</vt:lpwstr>
  </property>
  <property fmtid="{D5CDD505-2E9C-101B-9397-08002B2CF9AE}" pid="10" name="DMSFileNo">
    <vt:lpwstr>134000393</vt:lpwstr>
  </property>
  <property fmtid="{D5CDD505-2E9C-101B-9397-08002B2CF9AE}" pid="11" name="Typist">
    <vt:lpwstr>Marion Corish</vt:lpwstr>
  </property>
</Properties>
</file>