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286C" w14:textId="77777777" w:rsidR="00355405" w:rsidRPr="000100B7" w:rsidRDefault="000100B7" w:rsidP="0080306B">
      <w:pPr>
        <w:pStyle w:val="NoSpacing"/>
        <w:rPr>
          <w:b/>
        </w:rPr>
      </w:pPr>
      <w:r>
        <w:rPr>
          <w:b/>
        </w:rPr>
        <w:t xml:space="preserve">Cedar Mount Academy </w:t>
      </w:r>
      <w:r w:rsidR="006F7BCE">
        <w:rPr>
          <w:b/>
        </w:rPr>
        <w:t>PP</w:t>
      </w:r>
      <w:r>
        <w:rPr>
          <w:b/>
        </w:rPr>
        <w:t xml:space="preserve"> </w:t>
      </w:r>
      <w:r w:rsidR="001C7959" w:rsidRPr="00355405">
        <w:rPr>
          <w:b/>
        </w:rPr>
        <w:t>Action Plan:</w:t>
      </w:r>
      <w:r>
        <w:rPr>
          <w:b/>
        </w:rPr>
        <w:t xml:space="preserve"> </w:t>
      </w:r>
      <w:r w:rsidR="00DC4A87">
        <w:rPr>
          <w:b/>
        </w:rPr>
        <w:t>2018</w:t>
      </w:r>
      <w:r w:rsidR="00FC39C0" w:rsidRPr="00355405">
        <w:rPr>
          <w:b/>
        </w:rPr>
        <w:t xml:space="preserve"> </w:t>
      </w:r>
      <w:r w:rsidR="00355405" w:rsidRPr="00355405">
        <w:rPr>
          <w:b/>
        </w:rPr>
        <w:t>–</w:t>
      </w:r>
      <w:r w:rsidR="00DC4A87">
        <w:rPr>
          <w:b/>
        </w:rPr>
        <w:t xml:space="preserve"> 2019</w:t>
      </w:r>
    </w:p>
    <w:tbl>
      <w:tblPr>
        <w:tblpPr w:leftFromText="180" w:rightFromText="180" w:vertAnchor="text" w:horzAnchor="margin" w:tblpY="88"/>
        <w:tblW w:w="15826" w:type="dxa"/>
        <w:tblLook w:val="04A0" w:firstRow="1" w:lastRow="0" w:firstColumn="1" w:lastColumn="0" w:noHBand="0" w:noVBand="1"/>
      </w:tblPr>
      <w:tblGrid>
        <w:gridCol w:w="2870"/>
        <w:gridCol w:w="781"/>
        <w:gridCol w:w="3985"/>
        <w:gridCol w:w="1206"/>
        <w:gridCol w:w="5460"/>
        <w:gridCol w:w="1524"/>
      </w:tblGrid>
      <w:tr w:rsidR="006B65A0" w:rsidRPr="001A4037" w14:paraId="06D2E14B" w14:textId="77777777" w:rsidTr="006B65A0">
        <w:trPr>
          <w:trHeight w:val="351"/>
        </w:trPr>
        <w:tc>
          <w:tcPr>
            <w:tcW w:w="1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3B665D" w14:textId="77777777" w:rsidR="006B65A0" w:rsidRPr="001A4037" w:rsidRDefault="006B65A0" w:rsidP="006B65A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Summary information</w:t>
            </w:r>
          </w:p>
        </w:tc>
      </w:tr>
      <w:tr w:rsidR="006B65A0" w:rsidRPr="001A4037" w14:paraId="1314DBE3" w14:textId="77777777" w:rsidTr="006B65A0">
        <w:trPr>
          <w:trHeight w:val="205"/>
        </w:trPr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61D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School 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564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Cedar Mount Academy </w:t>
            </w:r>
          </w:p>
        </w:tc>
      </w:tr>
      <w:tr w:rsidR="006B65A0" w:rsidRPr="001A4037" w14:paraId="6EBF3568" w14:textId="77777777" w:rsidTr="006B65A0">
        <w:trPr>
          <w:trHeight w:val="35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F00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Academic year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AEF" w14:textId="77777777" w:rsidR="006B65A0" w:rsidRPr="001A4037" w:rsidRDefault="006B65A0" w:rsidP="006B65A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18/19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54B0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</w:t>
            </w:r>
            <w:r w:rsidR="006F7BCE">
              <w:rPr>
                <w:rFonts w:ascii="Calibri" w:eastAsia="Times New Roman" w:hAnsi="Calibri" w:cs="Times New Roman"/>
                <w:color w:val="000000"/>
                <w:lang w:eastAsia="en-GB"/>
              </w:rPr>
              <w:t>PP</w:t>
            </w: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budget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0D0" w14:textId="77777777" w:rsidR="006B65A0" w:rsidRPr="001A4037" w:rsidRDefault="006B65A0" w:rsidP="00A3718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A3718C">
              <w:rPr>
                <w:rFonts w:ascii="Calibri" w:eastAsia="Times New Roman" w:hAnsi="Calibri" w:cs="Times New Roman"/>
                <w:color w:val="000000"/>
                <w:lang w:eastAsia="en-GB"/>
              </w:rPr>
              <w:t>305,670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357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Date of recent </w:t>
            </w:r>
            <w:r w:rsidR="006F7BCE">
              <w:rPr>
                <w:rFonts w:ascii="Calibri" w:eastAsia="Times New Roman" w:hAnsi="Calibri" w:cs="Times New Roman"/>
                <w:color w:val="000000"/>
                <w:lang w:eastAsia="en-GB"/>
              </w:rPr>
              <w:t>PP</w:t>
            </w: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review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A09" w14:textId="77777777" w:rsidR="006B65A0" w:rsidRPr="001A4037" w:rsidRDefault="006B65A0" w:rsidP="006B65A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25/01/2018</w:t>
            </w:r>
          </w:p>
        </w:tc>
      </w:tr>
      <w:tr w:rsidR="006B65A0" w:rsidRPr="001A4037" w14:paraId="380E6635" w14:textId="77777777" w:rsidTr="006B65A0">
        <w:trPr>
          <w:trHeight w:val="35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454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number of pupils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9392" w14:textId="77777777" w:rsidR="006B65A0" w:rsidRPr="001A4037" w:rsidRDefault="006B65A0" w:rsidP="006B65A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814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5B4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Number of pupils eligible for </w:t>
            </w:r>
            <w:r w:rsidR="006F7BCE">
              <w:rPr>
                <w:rFonts w:ascii="Calibri" w:eastAsia="Times New Roman" w:hAnsi="Calibri" w:cs="Times New Roman"/>
                <w:color w:val="000000"/>
                <w:lang w:eastAsia="en-GB"/>
              </w:rPr>
              <w:t>PP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1FD1" w14:textId="77777777" w:rsidR="006B65A0" w:rsidRPr="001A4037" w:rsidRDefault="006B65A0" w:rsidP="006B65A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BF6" w14:textId="77777777" w:rsidR="006B65A0" w:rsidRPr="001A4037" w:rsidRDefault="006B65A0" w:rsidP="006B65A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Date of next internal review of this strategy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756" w14:textId="77777777" w:rsidR="006B65A0" w:rsidRPr="001A4037" w:rsidRDefault="006B65A0" w:rsidP="006B65A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</w:tr>
    </w:tbl>
    <w:p w14:paraId="1B73E289" w14:textId="77777777" w:rsidR="00355405" w:rsidRDefault="00355405" w:rsidP="0080306B">
      <w:pPr>
        <w:pStyle w:val="NoSpacing"/>
      </w:pPr>
    </w:p>
    <w:tbl>
      <w:tblPr>
        <w:tblpPr w:leftFromText="180" w:rightFromText="180" w:vertAnchor="text" w:horzAnchor="margin" w:tblpY="216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88"/>
        <w:gridCol w:w="2854"/>
        <w:gridCol w:w="2538"/>
        <w:gridCol w:w="2631"/>
        <w:gridCol w:w="2761"/>
      </w:tblGrid>
      <w:tr w:rsidR="00D942A4" w:rsidRPr="00355405" w14:paraId="22A0D6F1" w14:textId="77777777" w:rsidTr="00D942A4">
        <w:trPr>
          <w:trHeight w:val="85"/>
        </w:trPr>
        <w:tc>
          <w:tcPr>
            <w:tcW w:w="15797" w:type="dxa"/>
            <w:gridSpan w:val="6"/>
            <w:shd w:val="clear" w:color="auto" w:fill="92D050"/>
            <w:vAlign w:val="center"/>
          </w:tcPr>
          <w:p w14:paraId="47C66F18" w14:textId="77777777" w:rsidR="00D942A4" w:rsidRDefault="00D942A4" w:rsidP="00D942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Historical data </w:t>
            </w:r>
          </w:p>
        </w:tc>
      </w:tr>
      <w:tr w:rsidR="00D942A4" w:rsidRPr="00355405" w14:paraId="302680B0" w14:textId="77777777" w:rsidTr="00D942A4">
        <w:trPr>
          <w:trHeight w:val="372"/>
        </w:trPr>
        <w:tc>
          <w:tcPr>
            <w:tcW w:w="1525" w:type="dxa"/>
            <w:vMerge w:val="restart"/>
            <w:vAlign w:val="center"/>
          </w:tcPr>
          <w:p w14:paraId="0F62B29F" w14:textId="77777777" w:rsidR="00D942A4" w:rsidRPr="00355405" w:rsidRDefault="00D942A4" w:rsidP="00D942A4">
            <w:pPr>
              <w:pStyle w:val="NoSpacing"/>
              <w:jc w:val="center"/>
            </w:pPr>
          </w:p>
        </w:tc>
        <w:tc>
          <w:tcPr>
            <w:tcW w:w="3488" w:type="dxa"/>
            <w:vMerge w:val="restart"/>
            <w:vAlign w:val="center"/>
          </w:tcPr>
          <w:p w14:paraId="586B33C9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 w:rsidRPr="005F0E7B">
              <w:rPr>
                <w:b/>
              </w:rPr>
              <w:t>Outcomes 2015/16</w:t>
            </w:r>
          </w:p>
        </w:tc>
        <w:tc>
          <w:tcPr>
            <w:tcW w:w="5392" w:type="dxa"/>
            <w:gridSpan w:val="2"/>
            <w:vAlign w:val="center"/>
          </w:tcPr>
          <w:p w14:paraId="23AE7E70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 w:rsidRPr="005F0E7B">
              <w:rPr>
                <w:b/>
              </w:rPr>
              <w:t>Outcomes 2016/ 2017</w:t>
            </w:r>
          </w:p>
        </w:tc>
        <w:tc>
          <w:tcPr>
            <w:tcW w:w="5392" w:type="dxa"/>
            <w:gridSpan w:val="2"/>
            <w:vAlign w:val="center"/>
          </w:tcPr>
          <w:p w14:paraId="78354F0C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Outcomes 2017/ 2018</w:t>
            </w:r>
          </w:p>
        </w:tc>
      </w:tr>
      <w:tr w:rsidR="00D942A4" w:rsidRPr="00355405" w14:paraId="20FBB2CF" w14:textId="77777777" w:rsidTr="00E06BF6">
        <w:trPr>
          <w:trHeight w:val="176"/>
        </w:trPr>
        <w:tc>
          <w:tcPr>
            <w:tcW w:w="1525" w:type="dxa"/>
            <w:vMerge/>
            <w:vAlign w:val="center"/>
          </w:tcPr>
          <w:p w14:paraId="5023A732" w14:textId="77777777" w:rsidR="00D942A4" w:rsidRPr="00355405" w:rsidRDefault="00D942A4" w:rsidP="00D942A4">
            <w:pPr>
              <w:pStyle w:val="NoSpacing"/>
              <w:jc w:val="center"/>
            </w:pPr>
          </w:p>
        </w:tc>
        <w:tc>
          <w:tcPr>
            <w:tcW w:w="3488" w:type="dxa"/>
            <w:vMerge/>
            <w:vAlign w:val="center"/>
          </w:tcPr>
          <w:p w14:paraId="02D1F90B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4C4BC03C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r w:rsidRPr="005F0E7B">
              <w:rPr>
                <w:b/>
              </w:rPr>
              <w:t>9-5</w:t>
            </w:r>
          </w:p>
        </w:tc>
        <w:tc>
          <w:tcPr>
            <w:tcW w:w="2538" w:type="dxa"/>
            <w:vAlign w:val="center"/>
          </w:tcPr>
          <w:p w14:paraId="111AA235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 9-4</w:t>
            </w:r>
          </w:p>
        </w:tc>
        <w:tc>
          <w:tcPr>
            <w:tcW w:w="2631" w:type="dxa"/>
            <w:vAlign w:val="center"/>
          </w:tcPr>
          <w:p w14:paraId="45CD7EA8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 9-5</w:t>
            </w:r>
          </w:p>
        </w:tc>
        <w:tc>
          <w:tcPr>
            <w:tcW w:w="2761" w:type="dxa"/>
            <w:vAlign w:val="center"/>
          </w:tcPr>
          <w:p w14:paraId="7780BDBB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 9-4</w:t>
            </w:r>
          </w:p>
        </w:tc>
      </w:tr>
      <w:tr w:rsidR="00D942A4" w:rsidRPr="00355405" w14:paraId="5DA98AE5" w14:textId="77777777" w:rsidTr="00E06BF6">
        <w:trPr>
          <w:trHeight w:val="1068"/>
        </w:trPr>
        <w:tc>
          <w:tcPr>
            <w:tcW w:w="1525" w:type="dxa"/>
            <w:vAlign w:val="center"/>
          </w:tcPr>
          <w:p w14:paraId="73077D0C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 w:rsidRPr="005F0E7B">
              <w:rPr>
                <w:b/>
              </w:rPr>
              <w:t>Basics</w:t>
            </w:r>
          </w:p>
          <w:p w14:paraId="01552B00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 w:rsidRPr="005F0E7B">
              <w:rPr>
                <w:b/>
              </w:rPr>
              <w:t>(A*-C E&amp;M)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3B5F595F" w14:textId="77777777" w:rsidR="00D942A4" w:rsidRPr="00355405" w:rsidRDefault="00D942A4" w:rsidP="00D942A4">
            <w:pPr>
              <w:pStyle w:val="NoSpacing"/>
              <w:jc w:val="center"/>
            </w:pPr>
            <w:r w:rsidRPr="00355405">
              <w:t>ALL – 28.1%</w:t>
            </w:r>
          </w:p>
          <w:p w14:paraId="53F45818" w14:textId="77777777" w:rsidR="00D942A4" w:rsidRPr="00355405" w:rsidRDefault="006F7BCE" w:rsidP="00D942A4">
            <w:pPr>
              <w:pStyle w:val="NoSpacing"/>
              <w:jc w:val="center"/>
            </w:pPr>
            <w:r>
              <w:t>PP</w:t>
            </w:r>
            <w:r w:rsidR="00D942A4" w:rsidRPr="00355405">
              <w:t xml:space="preserve"> – 27.6%</w:t>
            </w:r>
          </w:p>
          <w:p w14:paraId="5FE47A11" w14:textId="77777777" w:rsidR="00D942A4" w:rsidRPr="00355405" w:rsidRDefault="00D942A4" w:rsidP="00D942A4">
            <w:pPr>
              <w:pStyle w:val="NoSpacing"/>
              <w:jc w:val="center"/>
            </w:pPr>
            <w:r w:rsidRPr="00355405">
              <w:t>Non-</w:t>
            </w:r>
            <w:r w:rsidR="006F7BCE">
              <w:t>PP</w:t>
            </w:r>
            <w:r w:rsidRPr="00355405">
              <w:t xml:space="preserve"> – 30%</w:t>
            </w:r>
          </w:p>
          <w:p w14:paraId="5B2BC6D9" w14:textId="77777777" w:rsidR="00D942A4" w:rsidRPr="00355405" w:rsidRDefault="00D942A4" w:rsidP="00D942A4">
            <w:pPr>
              <w:pStyle w:val="NoSpacing"/>
              <w:jc w:val="center"/>
            </w:pPr>
            <w:r w:rsidRPr="00355405">
              <w:t>Internal Gap – -2.4%</w:t>
            </w:r>
          </w:p>
        </w:tc>
        <w:tc>
          <w:tcPr>
            <w:tcW w:w="2854" w:type="dxa"/>
            <w:vAlign w:val="center"/>
          </w:tcPr>
          <w:p w14:paraId="39786985" w14:textId="77777777" w:rsidR="00D942A4" w:rsidRPr="00355405" w:rsidRDefault="00D942A4" w:rsidP="00D942A4">
            <w:pPr>
              <w:pStyle w:val="NoSpacing"/>
              <w:jc w:val="center"/>
            </w:pPr>
            <w:r w:rsidRPr="00355405">
              <w:t>ALL – 15.7%</w:t>
            </w:r>
          </w:p>
          <w:p w14:paraId="5B74E25D" w14:textId="77777777" w:rsidR="00D942A4" w:rsidRPr="00355405" w:rsidRDefault="006F7BCE" w:rsidP="00D942A4">
            <w:pPr>
              <w:pStyle w:val="NoSpacing"/>
              <w:jc w:val="center"/>
            </w:pPr>
            <w:r>
              <w:t>PP</w:t>
            </w:r>
            <w:r w:rsidR="00D942A4" w:rsidRPr="00355405">
              <w:t xml:space="preserve"> – 10.3%</w:t>
            </w:r>
          </w:p>
          <w:p w14:paraId="2E1CFBD4" w14:textId="77777777" w:rsidR="00D942A4" w:rsidRPr="00355405" w:rsidRDefault="00D942A4" w:rsidP="00D942A4">
            <w:pPr>
              <w:pStyle w:val="NoSpacing"/>
              <w:jc w:val="center"/>
            </w:pPr>
            <w:r w:rsidRPr="00355405">
              <w:t>Non-</w:t>
            </w:r>
            <w:r w:rsidR="006F7BCE">
              <w:t>PP</w:t>
            </w:r>
            <w:r w:rsidRPr="00355405">
              <w:t xml:space="preserve"> – 23.4%</w:t>
            </w:r>
          </w:p>
          <w:p w14:paraId="28F5B907" w14:textId="77777777" w:rsidR="00D942A4" w:rsidRDefault="00D942A4" w:rsidP="00D942A4">
            <w:pPr>
              <w:pStyle w:val="NoSpacing"/>
              <w:jc w:val="center"/>
            </w:pPr>
            <w:r w:rsidRPr="00355405">
              <w:t>Internal Gap – -13.1%</w:t>
            </w:r>
          </w:p>
          <w:p w14:paraId="75C8002E" w14:textId="77777777" w:rsidR="00D942A4" w:rsidRPr="00355405" w:rsidRDefault="00D942A4" w:rsidP="00D942A4">
            <w:pPr>
              <w:pStyle w:val="NoSpacing"/>
              <w:jc w:val="center"/>
            </w:pPr>
            <w:r>
              <w:t>Gap to National (All</w:t>
            </w:r>
            <w:r w:rsidRPr="00790144">
              <w:t>) 31.9%</w:t>
            </w:r>
          </w:p>
        </w:tc>
        <w:tc>
          <w:tcPr>
            <w:tcW w:w="2538" w:type="dxa"/>
            <w:vAlign w:val="center"/>
          </w:tcPr>
          <w:p w14:paraId="14BBDF39" w14:textId="77777777" w:rsidR="00D942A4" w:rsidRPr="00790144" w:rsidRDefault="00D942A4" w:rsidP="00D942A4">
            <w:pPr>
              <w:pStyle w:val="NoSpacing"/>
              <w:jc w:val="center"/>
            </w:pPr>
            <w:r w:rsidRPr="00790144">
              <w:t>ALL 30.4%</w:t>
            </w:r>
          </w:p>
          <w:p w14:paraId="066F4096" w14:textId="77777777" w:rsidR="00D942A4" w:rsidRPr="00790144" w:rsidRDefault="006F7BCE" w:rsidP="00D942A4">
            <w:pPr>
              <w:pStyle w:val="NoSpacing"/>
              <w:jc w:val="center"/>
            </w:pPr>
            <w:r>
              <w:t>PP</w:t>
            </w:r>
            <w:r w:rsidR="00D942A4" w:rsidRPr="00790144">
              <w:t xml:space="preserve"> 22.1%</w:t>
            </w:r>
          </w:p>
          <w:p w14:paraId="750D7AC7" w14:textId="77777777" w:rsidR="00D942A4" w:rsidRPr="00790144" w:rsidRDefault="00D942A4" w:rsidP="00D942A4">
            <w:pPr>
              <w:pStyle w:val="NoSpacing"/>
              <w:jc w:val="center"/>
            </w:pPr>
            <w:r w:rsidRPr="00790144">
              <w:t>Non-</w:t>
            </w:r>
            <w:r w:rsidR="006F7BCE">
              <w:t>PP</w:t>
            </w:r>
            <w:r w:rsidRPr="00790144">
              <w:t xml:space="preserve"> 42.6%</w:t>
            </w:r>
          </w:p>
          <w:p w14:paraId="212C1EA7" w14:textId="77777777" w:rsidR="00D942A4" w:rsidRPr="00790144" w:rsidRDefault="00D942A4" w:rsidP="00D942A4">
            <w:pPr>
              <w:pStyle w:val="NoSpacing"/>
              <w:jc w:val="center"/>
            </w:pPr>
            <w:r w:rsidRPr="00790144">
              <w:t>Internal Gap -20.5%</w:t>
            </w:r>
          </w:p>
          <w:p w14:paraId="34A0B7F9" w14:textId="77777777" w:rsidR="00D942A4" w:rsidRPr="00355405" w:rsidRDefault="00D942A4" w:rsidP="00D942A4">
            <w:pPr>
              <w:pStyle w:val="NoSpacing"/>
              <w:jc w:val="center"/>
            </w:pPr>
            <w:r>
              <w:t>Gap to National (All</w:t>
            </w:r>
            <w:r w:rsidRPr="00790144">
              <w:t>) 41%</w:t>
            </w:r>
          </w:p>
        </w:tc>
        <w:tc>
          <w:tcPr>
            <w:tcW w:w="2631" w:type="dxa"/>
            <w:vAlign w:val="center"/>
          </w:tcPr>
          <w:p w14:paraId="14BE93FE" w14:textId="77777777" w:rsidR="00D942A4" w:rsidRPr="00355405" w:rsidRDefault="00D942A4" w:rsidP="00D942A4">
            <w:pPr>
              <w:pStyle w:val="NoSpacing"/>
              <w:jc w:val="center"/>
            </w:pPr>
            <w:r>
              <w:t>ALL – 21</w:t>
            </w:r>
            <w:r w:rsidRPr="00355405">
              <w:t>%</w:t>
            </w:r>
          </w:p>
          <w:p w14:paraId="6E402427" w14:textId="77777777" w:rsidR="00D942A4" w:rsidRPr="00355405" w:rsidRDefault="006F7BCE" w:rsidP="00D942A4">
            <w:pPr>
              <w:pStyle w:val="NoSpacing"/>
              <w:jc w:val="center"/>
            </w:pPr>
            <w:r>
              <w:t>PP</w:t>
            </w:r>
            <w:r w:rsidR="00D942A4">
              <w:t xml:space="preserve"> – 21.7</w:t>
            </w:r>
            <w:r w:rsidR="00D942A4" w:rsidRPr="00355405">
              <w:t>%</w:t>
            </w:r>
          </w:p>
          <w:p w14:paraId="2DB7E4CE" w14:textId="77777777" w:rsidR="00D942A4" w:rsidRPr="00355405" w:rsidRDefault="00D942A4" w:rsidP="00D942A4">
            <w:pPr>
              <w:pStyle w:val="NoSpacing"/>
              <w:jc w:val="center"/>
            </w:pPr>
            <w:r>
              <w:t>Non-</w:t>
            </w:r>
            <w:r w:rsidR="006F7BCE">
              <w:t>PP</w:t>
            </w:r>
            <w:r>
              <w:t xml:space="preserve"> – 20</w:t>
            </w:r>
            <w:r w:rsidRPr="00355405">
              <w:t>%</w:t>
            </w:r>
          </w:p>
          <w:p w14:paraId="02D17766" w14:textId="77777777" w:rsidR="00D942A4" w:rsidRDefault="00D942A4" w:rsidP="00D942A4">
            <w:pPr>
              <w:pStyle w:val="NoSpacing"/>
              <w:jc w:val="center"/>
            </w:pPr>
            <w:r>
              <w:t xml:space="preserve">Internal Gap – </w:t>
            </w:r>
            <w:r w:rsidR="00E06BF6">
              <w:t>+</w:t>
            </w:r>
            <w:r>
              <w:t>1.7</w:t>
            </w:r>
            <w:r w:rsidRPr="00355405">
              <w:t>%</w:t>
            </w:r>
          </w:p>
          <w:p w14:paraId="38DE3F40" w14:textId="77777777" w:rsidR="00D942A4" w:rsidRDefault="00E06BF6" w:rsidP="00D942A4">
            <w:pPr>
              <w:pStyle w:val="NoSpacing"/>
              <w:jc w:val="center"/>
            </w:pPr>
            <w:r>
              <w:t>Gap to National (All) 28</w:t>
            </w:r>
            <w:r w:rsidRPr="00790144">
              <w:t>%</w:t>
            </w:r>
          </w:p>
          <w:p w14:paraId="412D40C3" w14:textId="77777777" w:rsidR="00D942A4" w:rsidRPr="00355405" w:rsidRDefault="00D942A4" w:rsidP="00D942A4">
            <w:pPr>
              <w:pStyle w:val="NoSpacing"/>
              <w:jc w:val="center"/>
            </w:pPr>
          </w:p>
        </w:tc>
        <w:tc>
          <w:tcPr>
            <w:tcW w:w="2761" w:type="dxa"/>
            <w:vAlign w:val="center"/>
          </w:tcPr>
          <w:p w14:paraId="001A4067" w14:textId="77777777" w:rsidR="00D942A4" w:rsidRPr="00355405" w:rsidRDefault="00D942A4" w:rsidP="00D942A4">
            <w:pPr>
              <w:pStyle w:val="NoSpacing"/>
              <w:jc w:val="center"/>
            </w:pPr>
            <w:r>
              <w:t>ALL – 41.1</w:t>
            </w:r>
            <w:r w:rsidRPr="00355405">
              <w:t>%</w:t>
            </w:r>
          </w:p>
          <w:p w14:paraId="0A254E71" w14:textId="77777777" w:rsidR="00D942A4" w:rsidRPr="00355405" w:rsidRDefault="006F7BCE" w:rsidP="00D942A4">
            <w:pPr>
              <w:pStyle w:val="NoSpacing"/>
              <w:jc w:val="center"/>
            </w:pPr>
            <w:r>
              <w:t>PP</w:t>
            </w:r>
            <w:r w:rsidR="00D942A4">
              <w:t xml:space="preserve"> – 36.2</w:t>
            </w:r>
            <w:r w:rsidR="00D942A4" w:rsidRPr="00355405">
              <w:t>%</w:t>
            </w:r>
          </w:p>
          <w:p w14:paraId="543F002B" w14:textId="77777777" w:rsidR="00D942A4" w:rsidRPr="00355405" w:rsidRDefault="00D942A4" w:rsidP="00D942A4">
            <w:pPr>
              <w:pStyle w:val="NoSpacing"/>
              <w:jc w:val="center"/>
            </w:pPr>
            <w:r>
              <w:t>Non-</w:t>
            </w:r>
            <w:r w:rsidR="006F7BCE">
              <w:t>PP</w:t>
            </w:r>
            <w:r>
              <w:t xml:space="preserve"> – 47.3</w:t>
            </w:r>
            <w:r w:rsidRPr="00355405">
              <w:t>%</w:t>
            </w:r>
          </w:p>
          <w:p w14:paraId="0FF665E7" w14:textId="77777777" w:rsidR="00D942A4" w:rsidRDefault="00D942A4" w:rsidP="00D942A4">
            <w:pPr>
              <w:pStyle w:val="NoSpacing"/>
              <w:jc w:val="center"/>
            </w:pPr>
            <w:r>
              <w:t xml:space="preserve">Internal Gap – </w:t>
            </w:r>
            <w:r w:rsidR="00E06BF6">
              <w:t>-</w:t>
            </w:r>
            <w:r>
              <w:t>11.1</w:t>
            </w:r>
            <w:r w:rsidRPr="00355405">
              <w:t>%</w:t>
            </w:r>
          </w:p>
          <w:p w14:paraId="7AB015DF" w14:textId="77777777" w:rsidR="00E06BF6" w:rsidRDefault="00E06BF6" w:rsidP="00E06BF6">
            <w:pPr>
              <w:pStyle w:val="NoSpacing"/>
              <w:jc w:val="center"/>
            </w:pPr>
            <w:r>
              <w:t>Gap to National (All) 34.8</w:t>
            </w:r>
            <w:r w:rsidRPr="00790144">
              <w:t>%</w:t>
            </w:r>
          </w:p>
          <w:p w14:paraId="50440CBD" w14:textId="77777777" w:rsidR="00D942A4" w:rsidRPr="00355405" w:rsidRDefault="00D942A4" w:rsidP="00D942A4">
            <w:pPr>
              <w:pStyle w:val="NoSpacing"/>
              <w:jc w:val="center"/>
            </w:pPr>
          </w:p>
        </w:tc>
      </w:tr>
      <w:tr w:rsidR="00D942A4" w:rsidRPr="00355405" w14:paraId="20258164" w14:textId="77777777" w:rsidTr="00D942A4">
        <w:trPr>
          <w:trHeight w:val="976"/>
        </w:trPr>
        <w:tc>
          <w:tcPr>
            <w:tcW w:w="1525" w:type="dxa"/>
            <w:vAlign w:val="center"/>
          </w:tcPr>
          <w:p w14:paraId="4C426408" w14:textId="77777777" w:rsidR="00D942A4" w:rsidRPr="005F0E7B" w:rsidRDefault="00D942A4" w:rsidP="00D942A4">
            <w:pPr>
              <w:pStyle w:val="NoSpacing"/>
              <w:jc w:val="center"/>
              <w:rPr>
                <w:b/>
              </w:rPr>
            </w:pPr>
            <w:r w:rsidRPr="005F0E7B">
              <w:rPr>
                <w:b/>
              </w:rPr>
              <w:t>Progress 8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2A0475E0" w14:textId="77777777" w:rsidR="00D942A4" w:rsidRPr="00790144" w:rsidRDefault="00D942A4" w:rsidP="00D942A4">
            <w:pPr>
              <w:pStyle w:val="NoSpacing"/>
              <w:jc w:val="center"/>
            </w:pPr>
            <w:proofErr w:type="gramStart"/>
            <w:r>
              <w:t xml:space="preserve">ALL </w:t>
            </w:r>
            <w:r w:rsidRPr="00790144">
              <w:t xml:space="preserve"> </w:t>
            </w:r>
            <w:proofErr w:type="spellStart"/>
            <w:r w:rsidRPr="00790144">
              <w:t>ALL</w:t>
            </w:r>
            <w:proofErr w:type="spellEnd"/>
            <w:proofErr w:type="gramEnd"/>
            <w:r w:rsidRPr="00790144">
              <w:t xml:space="preserve"> -0.87</w:t>
            </w:r>
          </w:p>
          <w:p w14:paraId="082AEC98" w14:textId="77777777" w:rsidR="00D942A4" w:rsidRPr="00790144" w:rsidRDefault="006F7BCE" w:rsidP="00D942A4">
            <w:pPr>
              <w:pStyle w:val="NoSpacing"/>
              <w:jc w:val="center"/>
            </w:pPr>
            <w:r>
              <w:t>PP</w:t>
            </w:r>
            <w:r w:rsidR="00D942A4" w:rsidRPr="00790144">
              <w:t xml:space="preserve"> -1.13</w:t>
            </w:r>
          </w:p>
          <w:p w14:paraId="71C32B01" w14:textId="77777777" w:rsidR="00D942A4" w:rsidRPr="00790144" w:rsidRDefault="00D942A4" w:rsidP="00D942A4">
            <w:pPr>
              <w:pStyle w:val="NoSpacing"/>
              <w:jc w:val="center"/>
            </w:pPr>
            <w:r w:rsidRPr="00790144">
              <w:t>Non-</w:t>
            </w:r>
            <w:r w:rsidR="006F7BCE">
              <w:t>PP</w:t>
            </w:r>
            <w:r w:rsidRPr="00790144">
              <w:t xml:space="preserve"> 0.05</w:t>
            </w:r>
          </w:p>
          <w:p w14:paraId="6755B082" w14:textId="77777777" w:rsidR="00D942A4" w:rsidRPr="00355405" w:rsidRDefault="00E06BF6" w:rsidP="00D942A4">
            <w:pPr>
              <w:pStyle w:val="NoSpacing"/>
              <w:jc w:val="center"/>
            </w:pPr>
            <w:r>
              <w:t xml:space="preserve">Gap to </w:t>
            </w:r>
            <w:proofErr w:type="gramStart"/>
            <w:r>
              <w:t>National</w:t>
            </w:r>
            <w:r w:rsidR="00D942A4" w:rsidRPr="00790144">
              <w:t xml:space="preserve">  -</w:t>
            </w:r>
            <w:proofErr w:type="gramEnd"/>
            <w:r w:rsidR="00D942A4" w:rsidRPr="00790144">
              <w:t>1.25</w:t>
            </w:r>
          </w:p>
        </w:tc>
        <w:tc>
          <w:tcPr>
            <w:tcW w:w="5392" w:type="dxa"/>
            <w:gridSpan w:val="2"/>
            <w:vAlign w:val="center"/>
          </w:tcPr>
          <w:p w14:paraId="5D6161D6" w14:textId="77777777" w:rsidR="00D942A4" w:rsidRPr="00790144" w:rsidRDefault="00D942A4" w:rsidP="00D942A4">
            <w:pPr>
              <w:pStyle w:val="NoSpacing"/>
              <w:jc w:val="center"/>
            </w:pPr>
            <w:r w:rsidRPr="00790144">
              <w:t>ALL</w:t>
            </w:r>
            <w:r>
              <w:t xml:space="preserve"> =</w:t>
            </w:r>
            <w:r w:rsidRPr="00790144">
              <w:t xml:space="preserve"> -0.82</w:t>
            </w:r>
          </w:p>
          <w:p w14:paraId="7BF33D2F" w14:textId="77777777" w:rsidR="00D942A4" w:rsidRPr="00790144" w:rsidRDefault="006F7BCE" w:rsidP="00D942A4">
            <w:pPr>
              <w:pStyle w:val="NoSpacing"/>
              <w:jc w:val="center"/>
            </w:pPr>
            <w:r>
              <w:t>PP</w:t>
            </w:r>
            <w:r w:rsidR="00D942A4">
              <w:t xml:space="preserve"> =</w:t>
            </w:r>
            <w:r w:rsidR="00D942A4" w:rsidRPr="00790144">
              <w:t xml:space="preserve"> -1.02</w:t>
            </w:r>
          </w:p>
          <w:p w14:paraId="3D7F2A3D" w14:textId="77777777" w:rsidR="00D942A4" w:rsidRPr="00790144" w:rsidRDefault="00D942A4" w:rsidP="00D942A4">
            <w:pPr>
              <w:pStyle w:val="NoSpacing"/>
              <w:jc w:val="center"/>
            </w:pPr>
            <w:r w:rsidRPr="00790144">
              <w:t>Non-</w:t>
            </w:r>
            <w:r w:rsidR="006F7BCE">
              <w:t>PP</w:t>
            </w:r>
            <w:r>
              <w:t xml:space="preserve"> =</w:t>
            </w:r>
            <w:r w:rsidRPr="00790144">
              <w:t xml:space="preserve"> -0.4</w:t>
            </w:r>
          </w:p>
          <w:p w14:paraId="52842ADE" w14:textId="77777777" w:rsidR="00D942A4" w:rsidRPr="00355405" w:rsidRDefault="00E06BF6" w:rsidP="00D942A4">
            <w:pPr>
              <w:pStyle w:val="NoSpacing"/>
              <w:jc w:val="center"/>
            </w:pPr>
            <w:r>
              <w:t>Gap to National</w:t>
            </w:r>
            <w:r w:rsidRPr="00790144">
              <w:t xml:space="preserve"> </w:t>
            </w:r>
            <w:r>
              <w:t>= -1.13</w:t>
            </w:r>
            <w:r w:rsidRPr="00790144">
              <w:t xml:space="preserve"> </w:t>
            </w:r>
          </w:p>
        </w:tc>
        <w:tc>
          <w:tcPr>
            <w:tcW w:w="5392" w:type="dxa"/>
            <w:gridSpan w:val="2"/>
            <w:vAlign w:val="center"/>
          </w:tcPr>
          <w:p w14:paraId="336D7625" w14:textId="77777777" w:rsidR="00D942A4" w:rsidRPr="00355405" w:rsidRDefault="00D942A4" w:rsidP="00D942A4">
            <w:pPr>
              <w:pStyle w:val="NoSpacing"/>
              <w:jc w:val="center"/>
            </w:pPr>
            <w:r>
              <w:t>ALL = -0.387</w:t>
            </w:r>
          </w:p>
          <w:p w14:paraId="095A27B6" w14:textId="77777777" w:rsidR="00D942A4" w:rsidRPr="00355405" w:rsidRDefault="006F7BCE" w:rsidP="00D942A4">
            <w:pPr>
              <w:pStyle w:val="NoSpacing"/>
              <w:jc w:val="center"/>
            </w:pPr>
            <w:r>
              <w:t>PP</w:t>
            </w:r>
            <w:r w:rsidR="00D942A4">
              <w:t xml:space="preserve"> = -0.448</w:t>
            </w:r>
          </w:p>
          <w:p w14:paraId="62B2226B" w14:textId="77777777" w:rsidR="00D942A4" w:rsidRPr="00355405" w:rsidRDefault="00D942A4" w:rsidP="00D942A4">
            <w:pPr>
              <w:pStyle w:val="NoSpacing"/>
              <w:jc w:val="center"/>
            </w:pPr>
            <w:r>
              <w:t>Non-</w:t>
            </w:r>
            <w:r w:rsidR="006F7BCE">
              <w:t>PP</w:t>
            </w:r>
            <w:r>
              <w:t xml:space="preserve"> = -0.188</w:t>
            </w:r>
          </w:p>
          <w:p w14:paraId="66DF50A4" w14:textId="77777777" w:rsidR="00D942A4" w:rsidRPr="00355405" w:rsidRDefault="00E06BF6" w:rsidP="00D942A4">
            <w:pPr>
              <w:pStyle w:val="NoSpacing"/>
              <w:jc w:val="center"/>
            </w:pPr>
            <w:r>
              <w:t>Gap to National = -0.578</w:t>
            </w:r>
          </w:p>
        </w:tc>
      </w:tr>
    </w:tbl>
    <w:p w14:paraId="59E19CB0" w14:textId="77777777" w:rsidR="00D942A4" w:rsidRDefault="00D942A4" w:rsidP="0080306B">
      <w:pPr>
        <w:pStyle w:val="NoSpacing"/>
      </w:pPr>
    </w:p>
    <w:tbl>
      <w:tblPr>
        <w:tblpPr w:leftFromText="180" w:rightFromText="180" w:vertAnchor="text" w:horzAnchor="margin" w:tblpY="172"/>
        <w:tblW w:w="15627" w:type="dxa"/>
        <w:tblLook w:val="04A0" w:firstRow="1" w:lastRow="0" w:firstColumn="1" w:lastColumn="0" w:noHBand="0" w:noVBand="1"/>
      </w:tblPr>
      <w:tblGrid>
        <w:gridCol w:w="11407"/>
        <w:gridCol w:w="4220"/>
      </w:tblGrid>
      <w:tr w:rsidR="006B65A0" w:rsidRPr="001A4037" w14:paraId="52E1E170" w14:textId="77777777" w:rsidTr="00D942A4">
        <w:trPr>
          <w:trHeight w:val="301"/>
        </w:trPr>
        <w:tc>
          <w:tcPr>
            <w:tcW w:w="1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44F117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In-school barriers</w:t>
            </w:r>
            <w:r w:rsidRPr="006B65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to progress</w:t>
            </w:r>
            <w:r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(issues to be addressed in school, such as poor literacy skills)</w:t>
            </w:r>
          </w:p>
        </w:tc>
      </w:tr>
      <w:tr w:rsidR="006B65A0" w:rsidRPr="001A4037" w14:paraId="0F117F1C" w14:textId="77777777" w:rsidTr="00D942A4">
        <w:trPr>
          <w:trHeight w:val="301"/>
        </w:trPr>
        <w:tc>
          <w:tcPr>
            <w:tcW w:w="1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69C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A. Poor behaviour that leads to the risk of exclusion/Less positive attitudes to learning</w:t>
            </w:r>
          </w:p>
        </w:tc>
      </w:tr>
      <w:tr w:rsidR="006B65A0" w:rsidRPr="001A4037" w14:paraId="7176491B" w14:textId="77777777" w:rsidTr="00D942A4">
        <w:trPr>
          <w:trHeight w:val="301"/>
        </w:trPr>
        <w:tc>
          <w:tcPr>
            <w:tcW w:w="1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FE2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B. Poor levels of literacy and numeracy</w:t>
            </w:r>
          </w:p>
        </w:tc>
      </w:tr>
      <w:tr w:rsidR="006B65A0" w:rsidRPr="001A4037" w14:paraId="563E6F1E" w14:textId="77777777" w:rsidTr="00D942A4">
        <w:trPr>
          <w:trHeight w:val="301"/>
        </w:trPr>
        <w:tc>
          <w:tcPr>
            <w:tcW w:w="1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000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C. Passive learning </w:t>
            </w:r>
          </w:p>
        </w:tc>
      </w:tr>
      <w:tr w:rsidR="006B65A0" w:rsidRPr="001A4037" w14:paraId="25A34AA2" w14:textId="77777777" w:rsidTr="00D942A4">
        <w:trPr>
          <w:trHeight w:val="301"/>
        </w:trPr>
        <w:tc>
          <w:tcPr>
            <w:tcW w:w="1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39BA0D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External barriers</w:t>
            </w:r>
            <w:r w:rsidRPr="006B65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to progress</w:t>
            </w:r>
            <w:r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(issues which also require action outside school, such as low attendance rates)</w:t>
            </w:r>
          </w:p>
        </w:tc>
      </w:tr>
      <w:tr w:rsidR="006B65A0" w:rsidRPr="001A4037" w14:paraId="48301505" w14:textId="77777777" w:rsidTr="00D942A4">
        <w:trPr>
          <w:trHeight w:val="301"/>
        </w:trPr>
        <w:tc>
          <w:tcPr>
            <w:tcW w:w="1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E64" w14:textId="77777777" w:rsidR="006B65A0" w:rsidRPr="001A4037" w:rsidRDefault="00D942A4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="006B65A0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. Lower rates of attendance</w:t>
            </w:r>
          </w:p>
        </w:tc>
      </w:tr>
      <w:tr w:rsidR="006B65A0" w:rsidRPr="001A4037" w14:paraId="4CA0AA1B" w14:textId="77777777" w:rsidTr="00D942A4">
        <w:trPr>
          <w:trHeight w:val="301"/>
        </w:trPr>
        <w:tc>
          <w:tcPr>
            <w:tcW w:w="1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3E79" w14:textId="77777777" w:rsidR="006B65A0" w:rsidRPr="001A4037" w:rsidRDefault="00D942A4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6B65A0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Lack of </w:t>
            </w:r>
            <w:r w:rsidR="005B534B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5B534B">
              <w:rPr>
                <w:rFonts w:ascii="Calibri" w:eastAsia="Times New Roman" w:hAnsi="Calibri" w:cs="Times New Roman"/>
                <w:color w:val="000000"/>
                <w:lang w:eastAsia="en-GB"/>
              </w:rPr>
              <w:t>pp</w:t>
            </w:r>
            <w:r w:rsidR="005B534B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ortunities</w:t>
            </w:r>
            <w:r w:rsidR="006B65A0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develo</w:t>
            </w:r>
            <w:r w:rsidR="00687C7A">
              <w:rPr>
                <w:rFonts w:ascii="Calibri" w:eastAsia="Times New Roman" w:hAnsi="Calibri" w:cs="Times New Roman"/>
                <w:color w:val="000000"/>
                <w:lang w:eastAsia="en-GB"/>
              </w:rPr>
              <w:t>p cultural and scientific capita</w:t>
            </w:r>
            <w:r w:rsidR="006B65A0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6B65A0" w:rsidRPr="001A4037" w14:paraId="22821B91" w14:textId="77777777" w:rsidTr="00D942A4">
        <w:trPr>
          <w:trHeight w:val="301"/>
        </w:trPr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AABB47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Desired outcomes (desired outcomes and how they will be measured) How success will be measured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DF7B19" w14:textId="77777777" w:rsidR="006B65A0" w:rsidRPr="001A4037" w:rsidRDefault="006B65A0" w:rsidP="00D942A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How </w:t>
            </w:r>
            <w:r w:rsidR="005B534B"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success</w:t>
            </w:r>
            <w:r w:rsidRPr="001A403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be measured</w:t>
            </w:r>
          </w:p>
        </w:tc>
      </w:tr>
      <w:tr w:rsidR="006B65A0" w:rsidRPr="001A4037" w14:paraId="01F38B40" w14:textId="77777777" w:rsidTr="00D942A4">
        <w:trPr>
          <w:trHeight w:val="301"/>
        </w:trPr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6F7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A. Sustained low exclusion figures and improved attitudes to learning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1E6" w14:textId="77777777" w:rsidR="006B65A0" w:rsidRPr="001A4037" w:rsidRDefault="006B65A0" w:rsidP="00D942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Half-Termly Behaviour Tracking</w:t>
            </w:r>
          </w:p>
        </w:tc>
      </w:tr>
      <w:tr w:rsidR="006B65A0" w:rsidRPr="001A4037" w14:paraId="35E7DA0F" w14:textId="77777777" w:rsidTr="00D942A4">
        <w:trPr>
          <w:trHeight w:val="301"/>
        </w:trPr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FCB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B. Students meeting age-related expectations in reading and maths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BC5" w14:textId="77777777" w:rsidR="006B65A0" w:rsidRPr="001A4037" w:rsidRDefault="006B65A0" w:rsidP="00D942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Reading and Numeracy Assessments</w:t>
            </w:r>
          </w:p>
        </w:tc>
      </w:tr>
      <w:tr w:rsidR="006B65A0" w:rsidRPr="001A4037" w14:paraId="79E3A7DE" w14:textId="77777777" w:rsidTr="00D942A4">
        <w:trPr>
          <w:trHeight w:val="301"/>
        </w:trPr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4F5" w14:textId="77777777" w:rsidR="006B65A0" w:rsidRPr="001A4037" w:rsidRDefault="006B65A0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C. Sustained low passive learning records and improved attitudes to learning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6DF" w14:textId="77777777" w:rsidR="006B65A0" w:rsidRPr="001A4037" w:rsidRDefault="006B65A0" w:rsidP="00D942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Half-Termly Behaviour Tracking</w:t>
            </w:r>
          </w:p>
        </w:tc>
      </w:tr>
      <w:tr w:rsidR="006B65A0" w:rsidRPr="001A4037" w14:paraId="5D839750" w14:textId="77777777" w:rsidTr="00D942A4">
        <w:trPr>
          <w:trHeight w:val="301"/>
        </w:trPr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EE34" w14:textId="77777777" w:rsidR="006B65A0" w:rsidRPr="001A4037" w:rsidRDefault="00D942A4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="006B65A0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Improved attendance and punctuality to the academy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2CA" w14:textId="77777777" w:rsidR="006B65A0" w:rsidRPr="001A4037" w:rsidRDefault="006B65A0" w:rsidP="00D942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>Half-Termly attendance Tracking</w:t>
            </w:r>
          </w:p>
        </w:tc>
      </w:tr>
      <w:tr w:rsidR="006B65A0" w:rsidRPr="001A4037" w14:paraId="17B03141" w14:textId="77777777" w:rsidTr="00D942A4">
        <w:trPr>
          <w:trHeight w:val="301"/>
        </w:trPr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04A" w14:textId="77777777" w:rsidR="006B65A0" w:rsidRPr="001A4037" w:rsidRDefault="00D942A4" w:rsidP="00D942A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6B65A0"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Increase number of students accessing trips, visits and academy events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3C2" w14:textId="77777777" w:rsidR="006B65A0" w:rsidRPr="001A4037" w:rsidRDefault="006B65A0" w:rsidP="00D942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40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Trips tracking provision </w:t>
            </w:r>
          </w:p>
        </w:tc>
      </w:tr>
    </w:tbl>
    <w:tbl>
      <w:tblPr>
        <w:tblStyle w:val="TableGrid"/>
        <w:tblW w:w="15953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3009"/>
        <w:gridCol w:w="1559"/>
        <w:gridCol w:w="5783"/>
        <w:gridCol w:w="29"/>
        <w:gridCol w:w="2693"/>
        <w:gridCol w:w="1925"/>
      </w:tblGrid>
      <w:tr w:rsidR="004F0911" w:rsidRPr="00355405" w14:paraId="06CB0423" w14:textId="77777777" w:rsidTr="001B1968">
        <w:trPr>
          <w:trHeight w:val="79"/>
          <w:jc w:val="center"/>
        </w:trPr>
        <w:tc>
          <w:tcPr>
            <w:tcW w:w="15953" w:type="dxa"/>
            <w:gridSpan w:val="7"/>
            <w:shd w:val="clear" w:color="auto" w:fill="95B3D7" w:themeFill="accent1" w:themeFillTint="99"/>
          </w:tcPr>
          <w:p w14:paraId="5D5E540B" w14:textId="77777777" w:rsidR="004F0911" w:rsidRPr="00355405" w:rsidRDefault="000F304A" w:rsidP="00ED3EFA">
            <w:pPr>
              <w:pStyle w:val="NoSpacing"/>
            </w:pPr>
            <w:r w:rsidRPr="00355405">
              <w:rPr>
                <w:b/>
              </w:rPr>
              <w:lastRenderedPageBreak/>
              <w:t>Expected Outcome 1:</w:t>
            </w:r>
            <w:r w:rsidRPr="00355405">
              <w:t xml:space="preserve"> Across a wide range of subjects, the progress of disadvantaged students is improving towards that of other students </w:t>
            </w:r>
            <w:r w:rsidR="00ED3EFA">
              <w:t>with the same starting points and imp</w:t>
            </w:r>
            <w:r w:rsidRPr="00355405">
              <w:t>roving in relation to other students nationally.</w:t>
            </w:r>
          </w:p>
        </w:tc>
      </w:tr>
      <w:tr w:rsidR="00080521" w:rsidRPr="00355405" w14:paraId="6C0AFB64" w14:textId="77777777" w:rsidTr="00080521">
        <w:trPr>
          <w:jc w:val="center"/>
        </w:trPr>
        <w:tc>
          <w:tcPr>
            <w:tcW w:w="955" w:type="dxa"/>
            <w:shd w:val="clear" w:color="auto" w:fill="4F81BD" w:themeFill="accent1"/>
          </w:tcPr>
          <w:p w14:paraId="356A79E6" w14:textId="77777777" w:rsidR="00080521" w:rsidRPr="00355405" w:rsidRDefault="00080521" w:rsidP="0080306B">
            <w:pPr>
              <w:pStyle w:val="NoSpacing"/>
            </w:pPr>
            <w:r w:rsidRPr="00355405">
              <w:t>Link to SEF area number</w:t>
            </w:r>
          </w:p>
        </w:tc>
        <w:tc>
          <w:tcPr>
            <w:tcW w:w="3009" w:type="dxa"/>
            <w:shd w:val="clear" w:color="auto" w:fill="4F81BD" w:themeFill="accent1"/>
          </w:tcPr>
          <w:p w14:paraId="50D33576" w14:textId="77777777" w:rsidR="00080521" w:rsidRPr="00355405" w:rsidRDefault="00080521" w:rsidP="0080306B">
            <w:pPr>
              <w:pStyle w:val="NoSpacing"/>
            </w:pPr>
            <w:r w:rsidRPr="00355405">
              <w:t>What will success look like?</w:t>
            </w:r>
          </w:p>
        </w:tc>
        <w:tc>
          <w:tcPr>
            <w:tcW w:w="1559" w:type="dxa"/>
            <w:shd w:val="clear" w:color="auto" w:fill="4F81BD" w:themeFill="accent1"/>
          </w:tcPr>
          <w:p w14:paraId="51B6BF97" w14:textId="77777777" w:rsidR="00080521" w:rsidRPr="00355405" w:rsidRDefault="00080521" w:rsidP="004E5E92">
            <w:pPr>
              <w:pStyle w:val="NoSpacing"/>
              <w:jc w:val="center"/>
            </w:pPr>
            <w:r w:rsidRPr="00355405">
              <w:t>Lead</w:t>
            </w:r>
          </w:p>
        </w:tc>
        <w:tc>
          <w:tcPr>
            <w:tcW w:w="5812" w:type="dxa"/>
            <w:gridSpan w:val="2"/>
            <w:shd w:val="clear" w:color="auto" w:fill="4F81BD" w:themeFill="accent1"/>
          </w:tcPr>
          <w:p w14:paraId="6AE0E7E2" w14:textId="77777777" w:rsidR="00080521" w:rsidRPr="00355405" w:rsidRDefault="00080521" w:rsidP="0080306B">
            <w:pPr>
              <w:pStyle w:val="NoSpacing"/>
            </w:pPr>
            <w:r w:rsidRPr="00355405">
              <w:t>How will we get there (Actions)</w:t>
            </w:r>
          </w:p>
        </w:tc>
        <w:tc>
          <w:tcPr>
            <w:tcW w:w="2693" w:type="dxa"/>
            <w:shd w:val="clear" w:color="auto" w:fill="4F81BD" w:themeFill="accent1"/>
          </w:tcPr>
          <w:p w14:paraId="512CB5BF" w14:textId="77777777" w:rsidR="00080521" w:rsidRPr="00355405" w:rsidRDefault="00080521" w:rsidP="0080306B">
            <w:pPr>
              <w:pStyle w:val="NoSpacing"/>
            </w:pPr>
            <w:r w:rsidRPr="00355405"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14:paraId="3B4548EA" w14:textId="77777777" w:rsidR="00080521" w:rsidRPr="00355405" w:rsidRDefault="00080521" w:rsidP="0080306B">
            <w:pPr>
              <w:pStyle w:val="NoSpacing"/>
            </w:pPr>
            <w:r w:rsidRPr="00355405">
              <w:t>Cost, training &amp; resources</w:t>
            </w:r>
          </w:p>
        </w:tc>
      </w:tr>
      <w:tr w:rsidR="00B06C99" w:rsidRPr="00355405" w14:paraId="7DDAAC43" w14:textId="77777777" w:rsidTr="004E5E92">
        <w:trPr>
          <w:trHeight w:val="1608"/>
          <w:jc w:val="center"/>
        </w:trPr>
        <w:tc>
          <w:tcPr>
            <w:tcW w:w="955" w:type="dxa"/>
          </w:tcPr>
          <w:p w14:paraId="7C5B28FB" w14:textId="77777777" w:rsidR="00B06C99" w:rsidRPr="00355405" w:rsidRDefault="00FE609F" w:rsidP="00FE609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09" w:type="dxa"/>
          </w:tcPr>
          <w:p w14:paraId="5040168D" w14:textId="77777777" w:rsidR="00B06C99" w:rsidRPr="00355405" w:rsidRDefault="00B06C99" w:rsidP="0080306B">
            <w:pPr>
              <w:pStyle w:val="NoSpacing"/>
            </w:pPr>
            <w:r w:rsidRPr="00355405">
              <w:t>Improved progress and outcomes for disadvantaged students</w:t>
            </w:r>
          </w:p>
        </w:tc>
        <w:tc>
          <w:tcPr>
            <w:tcW w:w="1559" w:type="dxa"/>
          </w:tcPr>
          <w:p w14:paraId="45ADF251" w14:textId="77777777" w:rsidR="00B06C99" w:rsidRDefault="00B06C99" w:rsidP="00534F0B">
            <w:pPr>
              <w:pStyle w:val="NoSpacing"/>
              <w:jc w:val="center"/>
            </w:pPr>
            <w:r w:rsidRPr="00355405">
              <w:t>ABU</w:t>
            </w:r>
          </w:p>
          <w:p w14:paraId="3D35F820" w14:textId="77777777" w:rsidR="005F0E7B" w:rsidRDefault="005F0E7B" w:rsidP="00534F0B">
            <w:pPr>
              <w:pStyle w:val="NoSpacing"/>
              <w:jc w:val="center"/>
            </w:pPr>
          </w:p>
          <w:p w14:paraId="5A7CB046" w14:textId="77777777" w:rsidR="005F0E7B" w:rsidRDefault="005F0E7B" w:rsidP="00534F0B">
            <w:pPr>
              <w:pStyle w:val="NoSpacing"/>
              <w:jc w:val="center"/>
            </w:pPr>
          </w:p>
          <w:p w14:paraId="7C8366A9" w14:textId="77777777" w:rsidR="005F0E7B" w:rsidRPr="00355405" w:rsidRDefault="005F0E7B" w:rsidP="00ED3EFA">
            <w:pPr>
              <w:pStyle w:val="NoSpacing"/>
              <w:jc w:val="center"/>
            </w:pPr>
          </w:p>
        </w:tc>
        <w:tc>
          <w:tcPr>
            <w:tcW w:w="5812" w:type="dxa"/>
            <w:gridSpan w:val="2"/>
          </w:tcPr>
          <w:p w14:paraId="58065D8D" w14:textId="77777777" w:rsidR="00B06C99" w:rsidRPr="00355405" w:rsidRDefault="005F0E7B" w:rsidP="0080306B">
            <w:pPr>
              <w:pStyle w:val="NoSpacing"/>
            </w:pPr>
            <w:r>
              <w:t>A</w:t>
            </w:r>
            <w:r w:rsidR="00B06C99" w:rsidRPr="00355405">
              <w:t xml:space="preserve">ssociate </w:t>
            </w:r>
            <w:r>
              <w:t>Assistant Vice Principal</w:t>
            </w:r>
            <w:r w:rsidR="00B06C99" w:rsidRPr="00355405">
              <w:t xml:space="preserve"> with responsibi</w:t>
            </w:r>
            <w:r w:rsidR="004E5E92">
              <w:t>lity for disadvantaged stude</w:t>
            </w:r>
            <w:r w:rsidR="000F12F7">
              <w:t>nts to continue in position for</w:t>
            </w:r>
            <w:r w:rsidR="004E5E92">
              <w:t xml:space="preserve"> 2017/18 academic year.  </w:t>
            </w:r>
          </w:p>
          <w:p w14:paraId="073FC351" w14:textId="77777777" w:rsidR="00B06C99" w:rsidRPr="00355405" w:rsidRDefault="00B06C99" w:rsidP="0080306B">
            <w:pPr>
              <w:pStyle w:val="NoSpacing"/>
            </w:pPr>
          </w:p>
          <w:p w14:paraId="3434ACC7" w14:textId="77777777" w:rsidR="00B06C99" w:rsidRPr="004E5E92" w:rsidRDefault="00B06C99" w:rsidP="0080306B">
            <w:pPr>
              <w:pStyle w:val="NoSpacing"/>
            </w:pPr>
          </w:p>
        </w:tc>
        <w:tc>
          <w:tcPr>
            <w:tcW w:w="2693" w:type="dxa"/>
          </w:tcPr>
          <w:p w14:paraId="63D52A87" w14:textId="77777777" w:rsidR="00B06C99" w:rsidRPr="00355405" w:rsidRDefault="00B06C99" w:rsidP="004E5E92">
            <w:pPr>
              <w:pStyle w:val="NoSpacing"/>
            </w:pPr>
            <w:r w:rsidRPr="00355405">
              <w:t xml:space="preserve">Improve the Progress 8 measure amongst </w:t>
            </w:r>
            <w:r w:rsidR="006F7BCE">
              <w:t>PP</w:t>
            </w:r>
            <w:r w:rsidRPr="00355405">
              <w:t xml:space="preserve"> students fro</w:t>
            </w:r>
            <w:r w:rsidR="004E5E92">
              <w:t>m -0.448</w:t>
            </w:r>
            <w:r w:rsidRPr="00355405">
              <w:t xml:space="preserve"> </w:t>
            </w:r>
            <w:r w:rsidR="004E5E92">
              <w:t>(2017/18</w:t>
            </w:r>
            <w:r w:rsidR="00355405">
              <w:t xml:space="preserve">) </w:t>
            </w:r>
            <w:r w:rsidRPr="00355405">
              <w:t xml:space="preserve">to better </w:t>
            </w:r>
            <w:r w:rsidR="005B534B" w:rsidRPr="00355405">
              <w:t xml:space="preserve">than </w:t>
            </w:r>
            <w:r w:rsidR="005B534B">
              <w:t>-</w:t>
            </w:r>
            <w:r w:rsidR="004E5E92">
              <w:t>0.2 by July 2019</w:t>
            </w:r>
            <w:r w:rsidRPr="00355405">
              <w:t xml:space="preserve">.  </w:t>
            </w:r>
          </w:p>
        </w:tc>
        <w:tc>
          <w:tcPr>
            <w:tcW w:w="1925" w:type="dxa"/>
          </w:tcPr>
          <w:p w14:paraId="03CD6DE4" w14:textId="77777777" w:rsidR="005F0E7B" w:rsidRDefault="000F12F7" w:rsidP="0080306B">
            <w:pPr>
              <w:pStyle w:val="NoSpacing"/>
            </w:pPr>
            <w:r>
              <w:t>No cost of AAVP</w:t>
            </w:r>
          </w:p>
          <w:p w14:paraId="7AFD6611" w14:textId="77777777" w:rsidR="005F0E7B" w:rsidRPr="00355405" w:rsidRDefault="005F0E7B" w:rsidP="0080306B">
            <w:pPr>
              <w:pStyle w:val="NoSpacing"/>
            </w:pPr>
          </w:p>
          <w:p w14:paraId="66419AC0" w14:textId="77777777" w:rsidR="00B06C99" w:rsidRPr="00355405" w:rsidRDefault="00B06C99" w:rsidP="0080306B">
            <w:pPr>
              <w:pStyle w:val="NoSpacing"/>
            </w:pPr>
          </w:p>
        </w:tc>
      </w:tr>
      <w:tr w:rsidR="00080521" w:rsidRPr="00355405" w14:paraId="55CD2E9F" w14:textId="77777777" w:rsidTr="00080521">
        <w:trPr>
          <w:jc w:val="center"/>
        </w:trPr>
        <w:tc>
          <w:tcPr>
            <w:tcW w:w="955" w:type="dxa"/>
          </w:tcPr>
          <w:p w14:paraId="490F717D" w14:textId="77777777" w:rsidR="00080521" w:rsidRPr="00355405" w:rsidRDefault="00080521" w:rsidP="0080306B">
            <w:pPr>
              <w:pStyle w:val="NoSpacing"/>
            </w:pPr>
          </w:p>
          <w:p w14:paraId="708198A8" w14:textId="77777777" w:rsidR="00080521" w:rsidRPr="00355405" w:rsidRDefault="00FE609F" w:rsidP="00FE609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09" w:type="dxa"/>
          </w:tcPr>
          <w:p w14:paraId="36CA537A" w14:textId="77777777" w:rsidR="00080521" w:rsidRPr="00355405" w:rsidRDefault="00080521" w:rsidP="0080306B">
            <w:pPr>
              <w:pStyle w:val="NoSpacing"/>
            </w:pPr>
            <w:r w:rsidRPr="00355405">
              <w:t>Disadvantaged learners make progress because T</w:t>
            </w:r>
            <w:r w:rsidR="00B30A6E">
              <w:t xml:space="preserve">eaching </w:t>
            </w:r>
            <w:r w:rsidRPr="00355405">
              <w:t>&amp;</w:t>
            </w:r>
            <w:r w:rsidR="00B30A6E">
              <w:t xml:space="preserve"> </w:t>
            </w:r>
            <w:r w:rsidRPr="00355405">
              <w:t>L</w:t>
            </w:r>
            <w:r w:rsidR="00B30A6E">
              <w:t>earning</w:t>
            </w:r>
            <w:r w:rsidRPr="00355405">
              <w:t xml:space="preserve"> is good or better.</w:t>
            </w:r>
          </w:p>
          <w:p w14:paraId="0AF13F46" w14:textId="77777777" w:rsidR="00080521" w:rsidRPr="00355405" w:rsidRDefault="00080521" w:rsidP="0080306B">
            <w:pPr>
              <w:pStyle w:val="NoSpacing"/>
            </w:pPr>
          </w:p>
        </w:tc>
        <w:tc>
          <w:tcPr>
            <w:tcW w:w="1559" w:type="dxa"/>
          </w:tcPr>
          <w:p w14:paraId="64150CA3" w14:textId="77777777" w:rsidR="00080521" w:rsidRPr="00355405" w:rsidRDefault="00080521" w:rsidP="00534F0B">
            <w:pPr>
              <w:pStyle w:val="NoSpacing"/>
              <w:jc w:val="center"/>
            </w:pPr>
            <w:r w:rsidRPr="00355405">
              <w:t>CHY</w:t>
            </w:r>
          </w:p>
          <w:p w14:paraId="1692A980" w14:textId="77777777" w:rsidR="00080521" w:rsidRPr="00355405" w:rsidRDefault="00080521" w:rsidP="00534F0B">
            <w:pPr>
              <w:pStyle w:val="NoSpacing"/>
              <w:jc w:val="center"/>
            </w:pPr>
          </w:p>
          <w:p w14:paraId="137D56A4" w14:textId="77777777" w:rsidR="00080521" w:rsidRPr="00355405" w:rsidRDefault="00080521" w:rsidP="00534F0B">
            <w:pPr>
              <w:pStyle w:val="NoSpacing"/>
              <w:jc w:val="center"/>
            </w:pPr>
          </w:p>
          <w:p w14:paraId="4A717B76" w14:textId="77777777" w:rsidR="00080521" w:rsidRPr="00355405" w:rsidRDefault="00080521" w:rsidP="00534F0B">
            <w:pPr>
              <w:pStyle w:val="NoSpacing"/>
              <w:jc w:val="center"/>
            </w:pPr>
            <w:r w:rsidRPr="00355405">
              <w:t>CHY</w:t>
            </w:r>
          </w:p>
          <w:p w14:paraId="7E9A4C4F" w14:textId="77777777" w:rsidR="00080521" w:rsidRPr="00355405" w:rsidRDefault="00080521" w:rsidP="00534F0B">
            <w:pPr>
              <w:pStyle w:val="NoSpacing"/>
              <w:jc w:val="center"/>
            </w:pPr>
          </w:p>
          <w:p w14:paraId="006E68DE" w14:textId="77777777" w:rsidR="00080521" w:rsidRPr="00355405" w:rsidRDefault="00080521" w:rsidP="00534F0B">
            <w:pPr>
              <w:pStyle w:val="NoSpacing"/>
              <w:jc w:val="center"/>
            </w:pPr>
          </w:p>
          <w:p w14:paraId="26B9AAFF" w14:textId="77777777" w:rsidR="00080521" w:rsidRPr="00355405" w:rsidRDefault="00080521" w:rsidP="00534F0B">
            <w:pPr>
              <w:pStyle w:val="NoSpacing"/>
              <w:jc w:val="center"/>
            </w:pPr>
          </w:p>
          <w:p w14:paraId="3BE1C1C5" w14:textId="77777777" w:rsidR="00080521" w:rsidRPr="00355405" w:rsidRDefault="00080521" w:rsidP="00534F0B">
            <w:pPr>
              <w:pStyle w:val="NoSpacing"/>
              <w:jc w:val="center"/>
            </w:pPr>
          </w:p>
          <w:p w14:paraId="5ED36C55" w14:textId="77777777" w:rsidR="007B11BE" w:rsidRDefault="007B11BE" w:rsidP="00534F0B">
            <w:pPr>
              <w:pStyle w:val="NoSpacing"/>
              <w:jc w:val="center"/>
            </w:pPr>
          </w:p>
          <w:p w14:paraId="6FEFDF3A" w14:textId="77777777" w:rsidR="005F0E7B" w:rsidRPr="00355405" w:rsidRDefault="005F0E7B" w:rsidP="004E5E92">
            <w:pPr>
              <w:pStyle w:val="NoSpacing"/>
            </w:pPr>
          </w:p>
          <w:p w14:paraId="6053B8EB" w14:textId="77777777" w:rsidR="00080521" w:rsidRPr="00355405" w:rsidRDefault="00080521" w:rsidP="00534F0B">
            <w:pPr>
              <w:pStyle w:val="NoSpacing"/>
              <w:jc w:val="center"/>
            </w:pPr>
          </w:p>
          <w:p w14:paraId="06E9EB29" w14:textId="77777777" w:rsidR="00080521" w:rsidRPr="00355405" w:rsidRDefault="00080521" w:rsidP="00534F0B">
            <w:pPr>
              <w:pStyle w:val="NoSpacing"/>
              <w:jc w:val="center"/>
            </w:pPr>
            <w:r w:rsidRPr="00355405">
              <w:t>KWA</w:t>
            </w:r>
          </w:p>
          <w:p w14:paraId="56EF4AED" w14:textId="77777777" w:rsidR="00080521" w:rsidRPr="00355405" w:rsidRDefault="00080521" w:rsidP="00534F0B">
            <w:pPr>
              <w:pStyle w:val="NoSpacing"/>
              <w:jc w:val="center"/>
            </w:pPr>
          </w:p>
          <w:p w14:paraId="351A476E" w14:textId="77777777" w:rsidR="00080521" w:rsidRPr="00355405" w:rsidRDefault="00080521" w:rsidP="00534F0B">
            <w:pPr>
              <w:pStyle w:val="NoSpacing"/>
              <w:jc w:val="center"/>
            </w:pPr>
          </w:p>
          <w:p w14:paraId="4C331EED" w14:textId="77777777" w:rsidR="00080521" w:rsidRDefault="00080521" w:rsidP="00534F0B">
            <w:pPr>
              <w:pStyle w:val="NoSpacing"/>
              <w:jc w:val="center"/>
            </w:pPr>
          </w:p>
          <w:p w14:paraId="60364D60" w14:textId="77777777" w:rsidR="004E5E92" w:rsidRPr="00355405" w:rsidRDefault="004E5E92" w:rsidP="00534F0B">
            <w:pPr>
              <w:pStyle w:val="NoSpacing"/>
              <w:jc w:val="center"/>
            </w:pPr>
          </w:p>
          <w:p w14:paraId="1E434F91" w14:textId="77777777" w:rsidR="00080521" w:rsidRPr="00355405" w:rsidRDefault="00080521" w:rsidP="00CD54A8">
            <w:pPr>
              <w:pStyle w:val="NoSpacing"/>
              <w:jc w:val="center"/>
            </w:pPr>
            <w:r w:rsidRPr="00355405">
              <w:t>KWA</w:t>
            </w:r>
          </w:p>
          <w:p w14:paraId="1750328A" w14:textId="77777777" w:rsidR="00080521" w:rsidRPr="00355405" w:rsidRDefault="00080521" w:rsidP="00534F0B">
            <w:pPr>
              <w:pStyle w:val="NoSpacing"/>
              <w:jc w:val="center"/>
            </w:pPr>
          </w:p>
          <w:p w14:paraId="7AAF88D5" w14:textId="77777777" w:rsidR="00080521" w:rsidRPr="00355405" w:rsidRDefault="00080521" w:rsidP="00534F0B">
            <w:pPr>
              <w:pStyle w:val="NoSpacing"/>
              <w:jc w:val="center"/>
            </w:pPr>
          </w:p>
          <w:p w14:paraId="3B215621" w14:textId="77777777" w:rsidR="00080521" w:rsidRPr="00355405" w:rsidRDefault="00080521" w:rsidP="00CD54A8">
            <w:pPr>
              <w:pStyle w:val="NoSpacing"/>
              <w:jc w:val="center"/>
            </w:pPr>
          </w:p>
        </w:tc>
        <w:tc>
          <w:tcPr>
            <w:tcW w:w="5812" w:type="dxa"/>
            <w:gridSpan w:val="2"/>
          </w:tcPr>
          <w:p w14:paraId="08F2087B" w14:textId="77777777" w:rsidR="00080521" w:rsidRPr="00355405" w:rsidRDefault="00080521" w:rsidP="0080306B">
            <w:pPr>
              <w:pStyle w:val="NoSpacing"/>
              <w:rPr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All teaching staff to deliver quality first teaching in the classroom to ensure </w:t>
            </w:r>
            <w:r w:rsidRPr="00355405">
              <w:rPr>
                <w:rFonts w:cs="Times"/>
                <w:lang w:val="en-US"/>
              </w:rPr>
              <w:t>e</w:t>
            </w:r>
            <w:proofErr w:type="spellStart"/>
            <w:r w:rsidRPr="00355405">
              <w:t>thos</w:t>
            </w:r>
            <w:proofErr w:type="spellEnd"/>
            <w:r w:rsidRPr="00355405">
              <w:t xml:space="preserve"> of high attainment for </w:t>
            </w:r>
            <w:r w:rsidR="00CA2899" w:rsidRPr="00355405">
              <w:rPr>
                <w:b/>
                <w:u w:val="single"/>
              </w:rPr>
              <w:t>ALL</w:t>
            </w:r>
            <w:r w:rsidRPr="00355405">
              <w:t xml:space="preserve"> learners</w:t>
            </w:r>
            <w:r w:rsidRPr="00355405">
              <w:rPr>
                <w:lang w:val="en-US"/>
              </w:rPr>
              <w:t xml:space="preserve"> </w:t>
            </w:r>
          </w:p>
          <w:p w14:paraId="483C1E04" w14:textId="77777777" w:rsidR="00080521" w:rsidRPr="00355405" w:rsidRDefault="00080521" w:rsidP="0080306B">
            <w:pPr>
              <w:pStyle w:val="NoSpacing"/>
              <w:rPr>
                <w:lang w:val="en-US"/>
              </w:rPr>
            </w:pPr>
          </w:p>
          <w:p w14:paraId="4558564C" w14:textId="77777777" w:rsidR="00080521" w:rsidRPr="00355405" w:rsidRDefault="00080521" w:rsidP="0080306B">
            <w:pPr>
              <w:pStyle w:val="NoSpacing"/>
              <w:rPr>
                <w:lang w:val="en-US"/>
              </w:rPr>
            </w:pPr>
            <w:r w:rsidRPr="00355405">
              <w:rPr>
                <w:lang w:val="en-US"/>
              </w:rPr>
              <w:t xml:space="preserve">Ensures that critical </w:t>
            </w:r>
            <w:r w:rsidR="006F7BCE">
              <w:rPr>
                <w:lang w:val="en-US"/>
              </w:rPr>
              <w:t>PP</w:t>
            </w:r>
            <w:r w:rsidRPr="00355405">
              <w:rPr>
                <w:lang w:val="en-US"/>
              </w:rPr>
              <w:t xml:space="preserve"> pupils receive consistently high levels of teacher feedback, </w:t>
            </w:r>
            <w:r w:rsidR="005B534B" w:rsidRPr="00355405">
              <w:rPr>
                <w:lang w:val="en-US"/>
              </w:rPr>
              <w:t>focused</w:t>
            </w:r>
            <w:r w:rsidRPr="00355405">
              <w:rPr>
                <w:lang w:val="en-US"/>
              </w:rPr>
              <w:t xml:space="preserve"> and targeted questions and access to the highest levels of curriculum content in all subjects they study.  </w:t>
            </w:r>
            <w:r w:rsidRPr="004E5E92">
              <w:rPr>
                <w:color w:val="FF0000"/>
                <w:lang w:val="en-US"/>
              </w:rPr>
              <w:t xml:space="preserve">(Research reviewed </w:t>
            </w:r>
            <w:r w:rsidR="00CA2899" w:rsidRPr="004E5E92">
              <w:rPr>
                <w:color w:val="FF0000"/>
                <w:lang w:val="en-US"/>
              </w:rPr>
              <w:t>by</w:t>
            </w:r>
            <w:r w:rsidRPr="004E5E92">
              <w:rPr>
                <w:color w:val="FF0000"/>
                <w:lang w:val="en-US"/>
              </w:rPr>
              <w:t xml:space="preserve"> the </w:t>
            </w:r>
            <w:r w:rsidR="00CA2899" w:rsidRPr="004E5E92">
              <w:rPr>
                <w:color w:val="FF0000"/>
                <w:lang w:val="en-US"/>
              </w:rPr>
              <w:t xml:space="preserve">Education </w:t>
            </w:r>
            <w:r w:rsidR="005B534B" w:rsidRPr="004E5E92">
              <w:rPr>
                <w:color w:val="FF0000"/>
                <w:lang w:val="en-US"/>
              </w:rPr>
              <w:t>Endowment</w:t>
            </w:r>
            <w:r w:rsidR="00CA2899" w:rsidRPr="004E5E92">
              <w:rPr>
                <w:color w:val="FF0000"/>
                <w:lang w:val="en-US"/>
              </w:rPr>
              <w:t xml:space="preserve"> Fund</w:t>
            </w:r>
            <w:r w:rsidRPr="004E5E92">
              <w:rPr>
                <w:color w:val="FF0000"/>
                <w:lang w:val="en-US"/>
              </w:rPr>
              <w:t xml:space="preserve"> suggests that the provision of high-quality feedback can lead to an average of eight additional months’ progress over the course of a year).</w:t>
            </w:r>
          </w:p>
          <w:p w14:paraId="68F36917" w14:textId="77777777" w:rsidR="00080521" w:rsidRPr="00355405" w:rsidRDefault="00080521" w:rsidP="0080306B">
            <w:pPr>
              <w:pStyle w:val="NoSpacing"/>
              <w:rPr>
                <w:rFonts w:cs="Times"/>
                <w:lang w:val="en-US"/>
              </w:rPr>
            </w:pPr>
          </w:p>
          <w:p w14:paraId="5D137C22" w14:textId="77777777" w:rsidR="00080521" w:rsidRDefault="00080521" w:rsidP="0080306B">
            <w:pPr>
              <w:pStyle w:val="NoSpacing"/>
              <w:rPr>
                <w:rFonts w:cs="Calibri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Ensure that </w:t>
            </w:r>
            <w:r w:rsidR="006F7BCE">
              <w:rPr>
                <w:rFonts w:cs="Calibri"/>
                <w:lang w:val="en-US"/>
              </w:rPr>
              <w:t>PP</w:t>
            </w:r>
            <w:r w:rsidRPr="00355405">
              <w:rPr>
                <w:rFonts w:cs="Calibri"/>
                <w:lang w:val="en-US"/>
              </w:rPr>
              <w:t xml:space="preserve"> pupils are distributed evenly within the timetable of departments. This will ensure that newly qualified teachers are not teaching </w:t>
            </w:r>
            <w:r w:rsidR="006F7BCE">
              <w:rPr>
                <w:rFonts w:cs="Calibri"/>
                <w:lang w:val="en-US"/>
              </w:rPr>
              <w:t>PP</w:t>
            </w:r>
            <w:r w:rsidRPr="00355405">
              <w:rPr>
                <w:rFonts w:cs="Calibri"/>
                <w:lang w:val="en-US"/>
              </w:rPr>
              <w:t xml:space="preserve"> heavy groups and to provide </w:t>
            </w:r>
            <w:r w:rsidR="005B534B" w:rsidRPr="00355405">
              <w:rPr>
                <w:rFonts w:cs="Calibri"/>
                <w:lang w:val="en-US"/>
              </w:rPr>
              <w:t>su</w:t>
            </w:r>
            <w:r w:rsidR="005B534B">
              <w:rPr>
                <w:rFonts w:cs="Calibri"/>
                <w:lang w:val="en-US"/>
              </w:rPr>
              <w:t>pp</w:t>
            </w:r>
            <w:r w:rsidR="005B534B" w:rsidRPr="00355405">
              <w:rPr>
                <w:rFonts w:cs="Calibri"/>
                <w:lang w:val="en-US"/>
              </w:rPr>
              <w:t>ort</w:t>
            </w:r>
            <w:r w:rsidRPr="00355405">
              <w:rPr>
                <w:rFonts w:cs="Calibri"/>
                <w:lang w:val="en-US"/>
              </w:rPr>
              <w:t xml:space="preserve"> where required.</w:t>
            </w:r>
          </w:p>
          <w:p w14:paraId="4F8E09F4" w14:textId="77777777" w:rsidR="00355405" w:rsidRPr="00355405" w:rsidRDefault="00355405" w:rsidP="0080306B">
            <w:pPr>
              <w:pStyle w:val="NoSpacing"/>
              <w:rPr>
                <w:rFonts w:cs="Calibri"/>
                <w:lang w:val="en-US"/>
              </w:rPr>
            </w:pPr>
          </w:p>
          <w:p w14:paraId="1720BB2C" w14:textId="77777777" w:rsidR="00080521" w:rsidRDefault="00080521" w:rsidP="0080306B">
            <w:pPr>
              <w:pStyle w:val="NoSpacing"/>
              <w:rPr>
                <w:rFonts w:cs="Calibri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Ensure </w:t>
            </w:r>
            <w:r w:rsidR="005B534B" w:rsidRPr="00355405">
              <w:rPr>
                <w:rFonts w:cs="Calibri"/>
                <w:lang w:val="en-US"/>
              </w:rPr>
              <w:t>that</w:t>
            </w:r>
            <w:r w:rsidRPr="00355405">
              <w:rPr>
                <w:rFonts w:cs="Calibri"/>
                <w:lang w:val="en-US"/>
              </w:rPr>
              <w:t xml:space="preserve"> most experienced/ strongest staff are allocated key </w:t>
            </w:r>
            <w:r w:rsidR="006F7BCE">
              <w:rPr>
                <w:rFonts w:cs="Calibri"/>
                <w:lang w:val="en-US"/>
              </w:rPr>
              <w:t>PP</w:t>
            </w:r>
            <w:r w:rsidRPr="00355405">
              <w:rPr>
                <w:rFonts w:cs="Calibri"/>
                <w:lang w:val="en-US"/>
              </w:rPr>
              <w:t xml:space="preserve"> groups and make these class sizes smaller where possible.</w:t>
            </w:r>
          </w:p>
          <w:p w14:paraId="5DB93F2E" w14:textId="77777777" w:rsidR="00080521" w:rsidRPr="00355405" w:rsidRDefault="00080521" w:rsidP="0080306B">
            <w:pPr>
              <w:pStyle w:val="NoSpacing"/>
              <w:rPr>
                <w:rFonts w:cs="Times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26B9AA65" w14:textId="77777777" w:rsidR="004E5E92" w:rsidRPr="00355405" w:rsidRDefault="004E5E92" w:rsidP="004E5E92">
            <w:pPr>
              <w:pStyle w:val="NoSpacing"/>
            </w:pPr>
            <w:r w:rsidRPr="00355405">
              <w:t xml:space="preserve">Reduce the </w:t>
            </w:r>
            <w:r w:rsidR="004C29E5">
              <w:t xml:space="preserve">standard </w:t>
            </w:r>
            <w:r w:rsidRPr="00355405">
              <w:t xml:space="preserve">Basics </w:t>
            </w:r>
            <w:r w:rsidR="004C29E5">
              <w:t>attainment gap to national from 34.8</w:t>
            </w:r>
            <w:r>
              <w:t>% (2017/18</w:t>
            </w:r>
            <w:r w:rsidRPr="00355405">
              <w:t xml:space="preserve">) to </w:t>
            </w:r>
            <w:r w:rsidR="004C29E5">
              <w:t>better than 25%</w:t>
            </w:r>
            <w:r w:rsidRPr="00355405">
              <w:t xml:space="preserve"> for the </w:t>
            </w:r>
            <w:r>
              <w:t>2019</w:t>
            </w:r>
            <w:r w:rsidRPr="00355405">
              <w:t xml:space="preserve"> GCSE outcomes.</w:t>
            </w:r>
            <w:r>
              <w:t xml:space="preserve">  </w:t>
            </w:r>
          </w:p>
          <w:p w14:paraId="3BCAA0A2" w14:textId="77777777" w:rsidR="004E5E92" w:rsidRPr="00355405" w:rsidRDefault="004E5E92" w:rsidP="004E5E92">
            <w:pPr>
              <w:pStyle w:val="NoSpacing"/>
            </w:pPr>
          </w:p>
          <w:p w14:paraId="67814CAD" w14:textId="77777777" w:rsidR="004E5E92" w:rsidRPr="00355405" w:rsidRDefault="004E5E92" w:rsidP="004E5E92">
            <w:pPr>
              <w:pStyle w:val="NoSpacing"/>
            </w:pPr>
            <w:r w:rsidRPr="00355405">
              <w:t xml:space="preserve">Improve the Progress 8 measure amongst </w:t>
            </w:r>
            <w:r w:rsidR="006F7BCE">
              <w:t>PP</w:t>
            </w:r>
            <w:r w:rsidRPr="00355405">
              <w:t xml:space="preserve"> students fro</w:t>
            </w:r>
            <w:r>
              <w:t>m -0.448</w:t>
            </w:r>
            <w:r w:rsidRPr="00355405">
              <w:t xml:space="preserve"> </w:t>
            </w:r>
            <w:r>
              <w:t xml:space="preserve">(2017/18) </w:t>
            </w:r>
            <w:r w:rsidRPr="00355405">
              <w:t xml:space="preserve">to better </w:t>
            </w:r>
            <w:r w:rsidR="005B534B" w:rsidRPr="00355405">
              <w:t xml:space="preserve">than </w:t>
            </w:r>
            <w:r w:rsidR="005B534B">
              <w:t>-</w:t>
            </w:r>
            <w:r>
              <w:t>0.2 by July 2019</w:t>
            </w:r>
            <w:r w:rsidRPr="00355405">
              <w:t xml:space="preserve">.  </w:t>
            </w:r>
          </w:p>
          <w:p w14:paraId="66678347" w14:textId="77777777" w:rsidR="00080521" w:rsidRPr="00355405" w:rsidRDefault="00080521" w:rsidP="0080306B">
            <w:pPr>
              <w:pStyle w:val="NoSpacing"/>
            </w:pPr>
          </w:p>
        </w:tc>
        <w:tc>
          <w:tcPr>
            <w:tcW w:w="1925" w:type="dxa"/>
          </w:tcPr>
          <w:p w14:paraId="2C24335B" w14:textId="77777777" w:rsidR="00BF5A30" w:rsidRPr="00355405" w:rsidRDefault="00BF5A30" w:rsidP="0080306B">
            <w:pPr>
              <w:pStyle w:val="NoSpacing"/>
            </w:pPr>
            <w:r w:rsidRPr="00355405">
              <w:t>Staff meeting time</w:t>
            </w:r>
          </w:p>
          <w:p w14:paraId="03D2E781" w14:textId="77777777" w:rsidR="00BF5A30" w:rsidRPr="00355405" w:rsidRDefault="00BF5A30" w:rsidP="0080306B">
            <w:pPr>
              <w:pStyle w:val="NoSpacing"/>
            </w:pPr>
          </w:p>
          <w:p w14:paraId="4D07F13E" w14:textId="77777777" w:rsidR="00080521" w:rsidRPr="00355405" w:rsidRDefault="00BF5A30" w:rsidP="0080306B">
            <w:pPr>
              <w:pStyle w:val="NoSpacing"/>
            </w:pPr>
            <w:r w:rsidRPr="00355405">
              <w:t xml:space="preserve">Resources as </w:t>
            </w:r>
            <w:r w:rsidR="005B534B" w:rsidRPr="00355405">
              <w:t>a</w:t>
            </w:r>
            <w:r w:rsidR="005B534B">
              <w:t>pp</w:t>
            </w:r>
            <w:r w:rsidR="005B534B" w:rsidRPr="00355405">
              <w:t>ropriate</w:t>
            </w:r>
            <w:r w:rsidRPr="00355405">
              <w:t>.</w:t>
            </w:r>
          </w:p>
          <w:p w14:paraId="44BEA5E6" w14:textId="77777777" w:rsidR="00CA2899" w:rsidRPr="00355405" w:rsidRDefault="00CA2899" w:rsidP="0080306B">
            <w:pPr>
              <w:pStyle w:val="NoSpacing"/>
            </w:pPr>
          </w:p>
          <w:p w14:paraId="60EF423E" w14:textId="77777777" w:rsidR="00CA2899" w:rsidRPr="00355405" w:rsidRDefault="00CA2899" w:rsidP="0080306B">
            <w:pPr>
              <w:pStyle w:val="NoSpacing"/>
            </w:pPr>
            <w:r w:rsidRPr="00355405">
              <w:t>Saturday revision for year 11 =£15,000 budget</w:t>
            </w:r>
          </w:p>
        </w:tc>
      </w:tr>
      <w:tr w:rsidR="00B06C99" w:rsidRPr="00355405" w14:paraId="7F1F3C89" w14:textId="77777777" w:rsidTr="00355405">
        <w:trPr>
          <w:trHeight w:val="699"/>
          <w:jc w:val="center"/>
        </w:trPr>
        <w:tc>
          <w:tcPr>
            <w:tcW w:w="955" w:type="dxa"/>
          </w:tcPr>
          <w:p w14:paraId="3B826B65" w14:textId="77777777" w:rsidR="00B06C99" w:rsidRPr="00355405" w:rsidRDefault="00FE609F" w:rsidP="00FE609F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3009" w:type="dxa"/>
          </w:tcPr>
          <w:p w14:paraId="155ECF2C" w14:textId="77777777" w:rsidR="00B06C99" w:rsidRPr="00355405" w:rsidRDefault="00B06C99" w:rsidP="0080306B">
            <w:pPr>
              <w:pStyle w:val="NoSpacing"/>
            </w:pPr>
            <w:r w:rsidRPr="00355405">
              <w:t>Disadvantaged learners make progress because subject leaders are held accountable for their progress.</w:t>
            </w:r>
          </w:p>
        </w:tc>
        <w:tc>
          <w:tcPr>
            <w:tcW w:w="1559" w:type="dxa"/>
          </w:tcPr>
          <w:p w14:paraId="713E776A" w14:textId="77777777" w:rsidR="00B06C99" w:rsidRPr="00355405" w:rsidRDefault="00B06C99" w:rsidP="00534F0B">
            <w:pPr>
              <w:pStyle w:val="NoSpacing"/>
              <w:jc w:val="center"/>
            </w:pPr>
            <w:r w:rsidRPr="00355405">
              <w:t>Subject Leaders / ABU</w:t>
            </w:r>
          </w:p>
          <w:p w14:paraId="047812B3" w14:textId="77777777" w:rsidR="00B06C99" w:rsidRPr="00355405" w:rsidRDefault="00B06C99" w:rsidP="00534F0B">
            <w:pPr>
              <w:pStyle w:val="NoSpacing"/>
              <w:jc w:val="center"/>
            </w:pPr>
          </w:p>
          <w:p w14:paraId="0D7213CE" w14:textId="77777777" w:rsidR="00B06C99" w:rsidRPr="00355405" w:rsidRDefault="00B06C99" w:rsidP="00534F0B">
            <w:pPr>
              <w:pStyle w:val="NoSpacing"/>
              <w:jc w:val="center"/>
            </w:pPr>
          </w:p>
          <w:p w14:paraId="6C6E70D8" w14:textId="77777777" w:rsidR="00B06C99" w:rsidRPr="00355405" w:rsidRDefault="00CD54A8" w:rsidP="00534F0B">
            <w:pPr>
              <w:pStyle w:val="NoSpacing"/>
              <w:jc w:val="center"/>
            </w:pPr>
            <w:r>
              <w:t>SLT</w:t>
            </w:r>
          </w:p>
          <w:p w14:paraId="63EBF259" w14:textId="77777777" w:rsidR="00B06C99" w:rsidRPr="00355405" w:rsidRDefault="00B06C99" w:rsidP="00534F0B">
            <w:pPr>
              <w:pStyle w:val="NoSpacing"/>
              <w:jc w:val="center"/>
            </w:pPr>
          </w:p>
          <w:p w14:paraId="6DBD1F1D" w14:textId="77777777" w:rsidR="00B06C99" w:rsidRPr="00355405" w:rsidRDefault="00B06C99" w:rsidP="00534F0B">
            <w:pPr>
              <w:pStyle w:val="NoSpacing"/>
              <w:jc w:val="center"/>
            </w:pPr>
          </w:p>
          <w:p w14:paraId="0B5F9320" w14:textId="77777777" w:rsidR="00B06C99" w:rsidRPr="00355405" w:rsidRDefault="006F7BCE" w:rsidP="00534F0B">
            <w:pPr>
              <w:pStyle w:val="NoSpacing"/>
              <w:jc w:val="center"/>
            </w:pPr>
            <w:r>
              <w:t>PWA</w:t>
            </w:r>
          </w:p>
        </w:tc>
        <w:tc>
          <w:tcPr>
            <w:tcW w:w="5812" w:type="dxa"/>
            <w:gridSpan w:val="2"/>
          </w:tcPr>
          <w:p w14:paraId="6C9BE234" w14:textId="77777777" w:rsidR="00B06C99" w:rsidRPr="00355405" w:rsidRDefault="00B06C99" w:rsidP="0080306B">
            <w:pPr>
              <w:pStyle w:val="NoSpacing"/>
            </w:pPr>
            <w:r w:rsidRPr="00355405">
              <w:lastRenderedPageBreak/>
              <w:t>Subject Leaders</w:t>
            </w:r>
            <w:r w:rsidR="004E5E92">
              <w:t xml:space="preserve"> to present to SLT their 2017/18</w:t>
            </w:r>
            <w:r w:rsidRPr="00355405">
              <w:t xml:space="preserve"> outcomes analysis with </w:t>
            </w:r>
            <w:r w:rsidR="005B534B" w:rsidRPr="00355405">
              <w:t>su</w:t>
            </w:r>
            <w:r w:rsidR="005B534B">
              <w:t>pp</w:t>
            </w:r>
            <w:r w:rsidR="005B534B" w:rsidRPr="00355405">
              <w:t>orting</w:t>
            </w:r>
            <w:r w:rsidRPr="00355405">
              <w:t xml:space="preserve"> str</w:t>
            </w:r>
            <w:r w:rsidR="004E5E92">
              <w:t>ategies to improve rates of pro</w:t>
            </w:r>
            <w:r w:rsidRPr="00355405">
              <w:t>gress.</w:t>
            </w:r>
          </w:p>
          <w:p w14:paraId="3341CBD8" w14:textId="77777777" w:rsidR="00B06C99" w:rsidRPr="00355405" w:rsidRDefault="00B06C99" w:rsidP="0080306B">
            <w:pPr>
              <w:pStyle w:val="NoSpacing"/>
            </w:pPr>
          </w:p>
          <w:p w14:paraId="7E35E71F" w14:textId="77777777" w:rsidR="00B06C99" w:rsidRPr="00355405" w:rsidRDefault="00B06C99" w:rsidP="0080306B">
            <w:pPr>
              <w:pStyle w:val="NoSpacing"/>
            </w:pPr>
            <w:r w:rsidRPr="00355405">
              <w:t>Subject leaders</w:t>
            </w:r>
            <w:r w:rsidR="00CD54A8">
              <w:t xml:space="preserve"> to present data and strategies to SLT following academy calendar.</w:t>
            </w:r>
          </w:p>
          <w:p w14:paraId="74F07F4D" w14:textId="77777777" w:rsidR="00B06C99" w:rsidRPr="00355405" w:rsidRDefault="00B06C99" w:rsidP="0080306B">
            <w:pPr>
              <w:pStyle w:val="NoSpacing"/>
            </w:pPr>
          </w:p>
          <w:p w14:paraId="4950B4AB" w14:textId="77777777" w:rsidR="00B06C99" w:rsidRPr="00355405" w:rsidRDefault="006F7BCE" w:rsidP="00CD54A8">
            <w:pPr>
              <w:pStyle w:val="NoSpacing"/>
            </w:pPr>
            <w:r>
              <w:t>PP</w:t>
            </w:r>
            <w:r w:rsidR="00B06C99" w:rsidRPr="00355405">
              <w:t xml:space="preserve"> focused PROJECT 11 meetings to be scheduled</w:t>
            </w:r>
            <w:r w:rsidR="00CD54A8">
              <w:t xml:space="preserve"> as per the academy calendar</w:t>
            </w:r>
            <w:r w:rsidR="00B06C99" w:rsidRPr="00355405">
              <w:t>.</w:t>
            </w:r>
          </w:p>
        </w:tc>
        <w:tc>
          <w:tcPr>
            <w:tcW w:w="2693" w:type="dxa"/>
          </w:tcPr>
          <w:p w14:paraId="382FDC2A" w14:textId="77777777" w:rsidR="004C29E5" w:rsidRPr="00355405" w:rsidRDefault="004C29E5" w:rsidP="004C29E5">
            <w:pPr>
              <w:pStyle w:val="NoSpacing"/>
            </w:pPr>
            <w:r w:rsidRPr="00355405">
              <w:lastRenderedPageBreak/>
              <w:t xml:space="preserve">Improve the Progress 8 measure amongst </w:t>
            </w:r>
            <w:r w:rsidR="006F7BCE">
              <w:t>PP</w:t>
            </w:r>
            <w:r w:rsidRPr="00355405">
              <w:t xml:space="preserve"> students fro</w:t>
            </w:r>
            <w:r>
              <w:t>m -0.448</w:t>
            </w:r>
            <w:r w:rsidRPr="00355405">
              <w:t xml:space="preserve"> </w:t>
            </w:r>
            <w:r>
              <w:t xml:space="preserve">(2017/18) </w:t>
            </w:r>
            <w:r w:rsidRPr="00355405">
              <w:t xml:space="preserve">to better </w:t>
            </w:r>
            <w:r w:rsidR="005B534B" w:rsidRPr="00355405">
              <w:t xml:space="preserve">than </w:t>
            </w:r>
            <w:r w:rsidR="005B534B">
              <w:t>-</w:t>
            </w:r>
            <w:r>
              <w:t>0.2 by July 2019</w:t>
            </w:r>
            <w:r w:rsidRPr="00355405">
              <w:t xml:space="preserve">.  </w:t>
            </w:r>
          </w:p>
          <w:p w14:paraId="1F1DFB25" w14:textId="77777777" w:rsidR="00355405" w:rsidRPr="00355405" w:rsidRDefault="00355405" w:rsidP="0080306B">
            <w:pPr>
              <w:pStyle w:val="NoSpacing"/>
            </w:pPr>
          </w:p>
        </w:tc>
        <w:tc>
          <w:tcPr>
            <w:tcW w:w="1925" w:type="dxa"/>
          </w:tcPr>
          <w:p w14:paraId="5C3883A5" w14:textId="77777777" w:rsidR="00B06C99" w:rsidRPr="00355405" w:rsidRDefault="00546805" w:rsidP="0080306B">
            <w:pPr>
              <w:pStyle w:val="NoSpacing"/>
            </w:pPr>
            <w:r w:rsidRPr="00355405">
              <w:t>Staff meeting time.</w:t>
            </w:r>
          </w:p>
        </w:tc>
      </w:tr>
      <w:tr w:rsidR="00B06C99" w:rsidRPr="00355405" w14:paraId="19A66432" w14:textId="77777777" w:rsidTr="00080521">
        <w:trPr>
          <w:trHeight w:val="825"/>
          <w:jc w:val="center"/>
        </w:trPr>
        <w:tc>
          <w:tcPr>
            <w:tcW w:w="955" w:type="dxa"/>
          </w:tcPr>
          <w:p w14:paraId="6C624DAD" w14:textId="77777777" w:rsidR="00B06C99" w:rsidRPr="00355405" w:rsidRDefault="00FE609F" w:rsidP="00FE609F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3009" w:type="dxa"/>
          </w:tcPr>
          <w:p w14:paraId="124AD412" w14:textId="77777777" w:rsidR="00B06C99" w:rsidRPr="00355405" w:rsidRDefault="00B06C99" w:rsidP="0080306B">
            <w:pPr>
              <w:pStyle w:val="NoSpacing"/>
              <w:rPr>
                <w:rFonts w:cs="Times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Boys eligible for </w:t>
            </w:r>
            <w:r w:rsidR="006F7BCE">
              <w:rPr>
                <w:rFonts w:cs="Calibri"/>
                <w:lang w:val="en-US"/>
              </w:rPr>
              <w:t>PP</w:t>
            </w:r>
            <w:r w:rsidRPr="00355405">
              <w:rPr>
                <w:rFonts w:cs="Calibri"/>
                <w:lang w:val="en-US"/>
              </w:rPr>
              <w:t xml:space="preserve"> make the same levels of progress as girls who are eligible for </w:t>
            </w:r>
            <w:r w:rsidR="006F7BCE">
              <w:rPr>
                <w:rFonts w:cs="Calibri"/>
                <w:lang w:val="en-US"/>
              </w:rPr>
              <w:t>PP</w:t>
            </w:r>
            <w:r w:rsidRPr="00355405">
              <w:rPr>
                <w:rFonts w:cs="Calibri"/>
                <w:lang w:val="en-US"/>
              </w:rPr>
              <w:t xml:space="preserve">. </w:t>
            </w:r>
          </w:p>
          <w:p w14:paraId="5BB67182" w14:textId="77777777" w:rsidR="00B06C99" w:rsidRPr="00355405" w:rsidRDefault="00B06C99" w:rsidP="0080306B">
            <w:pPr>
              <w:pStyle w:val="NoSpacing"/>
            </w:pPr>
          </w:p>
        </w:tc>
        <w:tc>
          <w:tcPr>
            <w:tcW w:w="1559" w:type="dxa"/>
          </w:tcPr>
          <w:p w14:paraId="012D6032" w14:textId="77777777" w:rsidR="00B06C99" w:rsidRPr="00355405" w:rsidRDefault="00B06C99" w:rsidP="00534F0B">
            <w:pPr>
              <w:pStyle w:val="NoSpacing"/>
              <w:jc w:val="center"/>
            </w:pPr>
            <w:r w:rsidRPr="00355405">
              <w:t>ABU</w:t>
            </w:r>
          </w:p>
          <w:p w14:paraId="44D01B15" w14:textId="77777777" w:rsidR="00B06C99" w:rsidRPr="00355405" w:rsidRDefault="00B06C99" w:rsidP="00534F0B">
            <w:pPr>
              <w:pStyle w:val="NoSpacing"/>
              <w:jc w:val="center"/>
            </w:pPr>
          </w:p>
          <w:p w14:paraId="7EABC1F4" w14:textId="77777777" w:rsidR="00B06C99" w:rsidRPr="00355405" w:rsidRDefault="00B06C99" w:rsidP="00534F0B">
            <w:pPr>
              <w:pStyle w:val="NoSpacing"/>
              <w:jc w:val="center"/>
            </w:pPr>
          </w:p>
          <w:p w14:paraId="1E3CA454" w14:textId="77777777" w:rsidR="00B06C99" w:rsidRDefault="00B06C99" w:rsidP="000221B8">
            <w:pPr>
              <w:pStyle w:val="NoSpacing"/>
              <w:jc w:val="center"/>
            </w:pPr>
            <w:r w:rsidRPr="00355405">
              <w:t>ABU</w:t>
            </w:r>
          </w:p>
          <w:p w14:paraId="1778F991" w14:textId="77777777" w:rsidR="0080641F" w:rsidRDefault="0080641F" w:rsidP="0080641F">
            <w:pPr>
              <w:pStyle w:val="NoSpacing"/>
              <w:jc w:val="center"/>
            </w:pPr>
          </w:p>
          <w:p w14:paraId="170AFB5B" w14:textId="77777777" w:rsidR="0080641F" w:rsidRDefault="0080641F" w:rsidP="0080641F">
            <w:pPr>
              <w:pStyle w:val="NoSpacing"/>
              <w:jc w:val="center"/>
            </w:pPr>
          </w:p>
          <w:p w14:paraId="1B599712" w14:textId="77777777" w:rsidR="0080641F" w:rsidRDefault="0080641F" w:rsidP="0080641F">
            <w:pPr>
              <w:pStyle w:val="NoSpacing"/>
              <w:jc w:val="center"/>
            </w:pPr>
            <w:r>
              <w:t>ABU</w:t>
            </w:r>
          </w:p>
          <w:p w14:paraId="57054C2E" w14:textId="77777777" w:rsidR="000221B8" w:rsidRDefault="000221B8" w:rsidP="0080641F">
            <w:pPr>
              <w:pStyle w:val="NoSpacing"/>
              <w:jc w:val="center"/>
            </w:pPr>
          </w:p>
          <w:p w14:paraId="014854DC" w14:textId="77777777" w:rsidR="000221B8" w:rsidRPr="00355405" w:rsidRDefault="000221B8" w:rsidP="0080641F">
            <w:pPr>
              <w:pStyle w:val="NoSpacing"/>
              <w:jc w:val="center"/>
            </w:pPr>
            <w:r>
              <w:t>ABU/PWA</w:t>
            </w:r>
          </w:p>
        </w:tc>
        <w:tc>
          <w:tcPr>
            <w:tcW w:w="5812" w:type="dxa"/>
            <w:gridSpan w:val="2"/>
          </w:tcPr>
          <w:p w14:paraId="4EEC2EB9" w14:textId="77777777" w:rsidR="00B06C99" w:rsidRDefault="00B06C99" w:rsidP="0080306B">
            <w:pPr>
              <w:pStyle w:val="NoSpacing"/>
              <w:rPr>
                <w:rFonts w:cs="Calibri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Identify a targeted group of key marginal boys, mentored by key individuals / Progress Leaders. </w:t>
            </w:r>
          </w:p>
          <w:p w14:paraId="55C94EE4" w14:textId="77777777" w:rsidR="00355405" w:rsidRPr="00355405" w:rsidRDefault="00355405" w:rsidP="0080306B">
            <w:pPr>
              <w:pStyle w:val="NoSpacing"/>
              <w:rPr>
                <w:rFonts w:cs="Calibri"/>
                <w:lang w:val="en-US"/>
              </w:rPr>
            </w:pPr>
          </w:p>
          <w:p w14:paraId="26E46469" w14:textId="77777777" w:rsidR="00B06C99" w:rsidRPr="00355405" w:rsidRDefault="00B06C99" w:rsidP="0080306B">
            <w:pPr>
              <w:pStyle w:val="NoSpacing"/>
            </w:pPr>
            <w:r w:rsidRPr="00355405">
              <w:t xml:space="preserve">Monitoring of participation rates of disadvantaged boys so that they are represented in </w:t>
            </w:r>
            <w:r w:rsidR="005B534B" w:rsidRPr="00355405">
              <w:t>extracurricular</w:t>
            </w:r>
            <w:r w:rsidRPr="00355405">
              <w:t xml:space="preserve"> activities.</w:t>
            </w:r>
          </w:p>
          <w:p w14:paraId="22ECD2FC" w14:textId="77777777" w:rsidR="00B06C99" w:rsidRDefault="00B06C99" w:rsidP="0080306B">
            <w:pPr>
              <w:pStyle w:val="NoSpacing"/>
            </w:pPr>
          </w:p>
          <w:p w14:paraId="7266C1EB" w14:textId="77777777" w:rsidR="000221B8" w:rsidRDefault="0080641F" w:rsidP="00EB496A">
            <w:pPr>
              <w:pStyle w:val="NoSpacing"/>
            </w:pPr>
            <w:r>
              <w:t>Targeted GM Higher acti</w:t>
            </w:r>
            <w:r w:rsidR="005B534B">
              <w:t>vi</w:t>
            </w:r>
            <w:r>
              <w:t>ties aimed at</w:t>
            </w:r>
            <w:r w:rsidR="00EB496A">
              <w:t xml:space="preserve"> underperforming</w:t>
            </w:r>
            <w:r>
              <w:t xml:space="preserve"> boys</w:t>
            </w:r>
            <w:r w:rsidR="000221B8">
              <w:t>.</w:t>
            </w:r>
          </w:p>
          <w:p w14:paraId="6B2A534C" w14:textId="77777777" w:rsidR="000221B8" w:rsidRDefault="000221B8" w:rsidP="00EB496A">
            <w:pPr>
              <w:pStyle w:val="NoSpacing"/>
            </w:pPr>
          </w:p>
          <w:p w14:paraId="51CA7F6C" w14:textId="77777777" w:rsidR="0080641F" w:rsidRPr="00355405" w:rsidRDefault="000221B8" w:rsidP="00EB496A">
            <w:pPr>
              <w:pStyle w:val="NoSpacing"/>
            </w:pPr>
            <w:r>
              <w:t xml:space="preserve">Target year 11 underachieving PP boys to attend Ghyll Head residential weekend </w:t>
            </w:r>
          </w:p>
        </w:tc>
        <w:tc>
          <w:tcPr>
            <w:tcW w:w="2693" w:type="dxa"/>
          </w:tcPr>
          <w:p w14:paraId="608732F7" w14:textId="77777777" w:rsidR="00E77D93" w:rsidRPr="00355405" w:rsidRDefault="00E77D93" w:rsidP="0080306B">
            <w:pPr>
              <w:pStyle w:val="NoSpacing"/>
            </w:pPr>
            <w:r>
              <w:t>Improve bo</w:t>
            </w:r>
            <w:r w:rsidR="00EB496A">
              <w:t>ys Progress 8 measure</w:t>
            </w:r>
            <w:r w:rsidR="004C29E5">
              <w:t xml:space="preserve"> from -0.555 to better than -0.3</w:t>
            </w:r>
            <w:r w:rsidR="00EB496A">
              <w:t xml:space="preserve"> by July 2019</w:t>
            </w:r>
            <w:r>
              <w:t>.</w:t>
            </w:r>
          </w:p>
          <w:p w14:paraId="3DBB1AAD" w14:textId="77777777" w:rsidR="00B06C99" w:rsidRPr="00355405" w:rsidRDefault="00B06C99" w:rsidP="0080306B">
            <w:pPr>
              <w:pStyle w:val="NoSpacing"/>
            </w:pPr>
          </w:p>
          <w:p w14:paraId="4DFB3CBB" w14:textId="77777777" w:rsidR="00B06C99" w:rsidRPr="00355405" w:rsidRDefault="00B06C99" w:rsidP="0080306B">
            <w:pPr>
              <w:pStyle w:val="NoSpacing"/>
            </w:pPr>
            <w:r w:rsidRPr="00355405">
              <w:t>Reduce the Year 11</w:t>
            </w:r>
            <w:r w:rsidR="00EB496A">
              <w:t xml:space="preserve"> Progress 8</w:t>
            </w:r>
            <w:r w:rsidRPr="00355405">
              <w:t xml:space="preserve"> internal gap</w:t>
            </w:r>
            <w:r w:rsidR="00EB496A">
              <w:t xml:space="preserve"> (2017= -0.4123)</w:t>
            </w:r>
            <w:r w:rsidRPr="00355405">
              <w:t xml:space="preserve"> between </w:t>
            </w:r>
            <w:r w:rsidR="006F7BCE">
              <w:t>PP</w:t>
            </w:r>
            <w:r w:rsidRPr="00355405">
              <w:t xml:space="preserve"> boys and girl</w:t>
            </w:r>
            <w:r w:rsidR="00EB496A">
              <w:t xml:space="preserve">s to better than </w:t>
            </w:r>
            <w:r w:rsidRPr="00355405">
              <w:t>-0.1 by July 201</w:t>
            </w:r>
            <w:r w:rsidR="00EB496A">
              <w:t>9</w:t>
            </w:r>
            <w:r w:rsidRPr="00355405">
              <w:t>.</w:t>
            </w:r>
          </w:p>
          <w:p w14:paraId="3A55C2A0" w14:textId="77777777" w:rsidR="00B06C99" w:rsidRPr="00355405" w:rsidRDefault="00B06C99" w:rsidP="0080306B">
            <w:pPr>
              <w:pStyle w:val="NoSpacing"/>
            </w:pPr>
          </w:p>
          <w:p w14:paraId="07185529" w14:textId="77777777" w:rsidR="00B06C99" w:rsidRPr="00355405" w:rsidRDefault="00B06C99" w:rsidP="0080306B">
            <w:pPr>
              <w:pStyle w:val="NoSpacing"/>
            </w:pPr>
            <w:r w:rsidRPr="00355405">
              <w:t xml:space="preserve">Reduce the Year 11 </w:t>
            </w:r>
            <w:r w:rsidR="00EF4301">
              <w:t>9-4</w:t>
            </w:r>
            <w:r w:rsidR="00E77D93">
              <w:t xml:space="preserve"> Basics </w:t>
            </w:r>
            <w:r w:rsidRPr="00355405">
              <w:t>internal gap</w:t>
            </w:r>
            <w:r w:rsidR="00EF4301">
              <w:t xml:space="preserve"> (2017= -12.5%</w:t>
            </w:r>
            <w:r w:rsidR="005B534B">
              <w:t xml:space="preserve">) </w:t>
            </w:r>
            <w:r w:rsidR="005B534B" w:rsidRPr="00355405">
              <w:t>between</w:t>
            </w:r>
            <w:r w:rsidRPr="00355405">
              <w:t xml:space="preserve"> </w:t>
            </w:r>
            <w:r w:rsidR="006F7BCE">
              <w:t>PP</w:t>
            </w:r>
            <w:r w:rsidRPr="00355405">
              <w:t xml:space="preserve"> boys and girls from to </w:t>
            </w:r>
            <w:r w:rsidR="00EF4301">
              <w:t>better than -10% by July 2019</w:t>
            </w:r>
            <w:r w:rsidRPr="00355405">
              <w:t>.</w:t>
            </w:r>
          </w:p>
          <w:p w14:paraId="4B87C1FD" w14:textId="77777777" w:rsidR="00B06C99" w:rsidRPr="00355405" w:rsidRDefault="00B06C99" w:rsidP="0080306B">
            <w:pPr>
              <w:pStyle w:val="NoSpacing"/>
            </w:pPr>
          </w:p>
          <w:p w14:paraId="3229D450" w14:textId="77777777" w:rsidR="00B06C99" w:rsidRPr="00355405" w:rsidRDefault="00B06C99" w:rsidP="0080306B">
            <w:pPr>
              <w:pStyle w:val="NoSpacing"/>
            </w:pPr>
            <w:r w:rsidRPr="00355405">
              <w:t xml:space="preserve">Increased number of boys taking up </w:t>
            </w:r>
            <w:r w:rsidR="005B534B" w:rsidRPr="00355405">
              <w:t>extracurricular</w:t>
            </w:r>
            <w:r w:rsidRPr="00355405">
              <w:t xml:space="preserve"> activities.</w:t>
            </w:r>
          </w:p>
        </w:tc>
        <w:tc>
          <w:tcPr>
            <w:tcW w:w="1925" w:type="dxa"/>
          </w:tcPr>
          <w:p w14:paraId="09C2CCE5" w14:textId="77777777" w:rsidR="00B06C99" w:rsidRDefault="00693885" w:rsidP="006F7BCE">
            <w:pPr>
              <w:pStyle w:val="NoSpacing"/>
            </w:pPr>
            <w:r w:rsidRPr="00355405">
              <w:t xml:space="preserve">Cost </w:t>
            </w:r>
            <w:r w:rsidR="006F7BCE">
              <w:t>GM Higher targeted events</w:t>
            </w:r>
          </w:p>
          <w:p w14:paraId="113B19C7" w14:textId="77777777" w:rsidR="001542FE" w:rsidRDefault="001542FE" w:rsidP="006F7BCE">
            <w:pPr>
              <w:pStyle w:val="NoSpacing"/>
            </w:pPr>
          </w:p>
          <w:p w14:paraId="23589DB1" w14:textId="77777777" w:rsidR="001542FE" w:rsidRPr="00355405" w:rsidRDefault="001542FE" w:rsidP="006F7BCE">
            <w:pPr>
              <w:pStyle w:val="NoSpacing"/>
            </w:pPr>
            <w:r>
              <w:t xml:space="preserve">Cost of Ghyll Head residential weekend </w:t>
            </w:r>
          </w:p>
        </w:tc>
      </w:tr>
      <w:tr w:rsidR="00B06C99" w:rsidRPr="00355405" w14:paraId="4AFE546F" w14:textId="77777777" w:rsidTr="00080521">
        <w:trPr>
          <w:trHeight w:val="825"/>
          <w:jc w:val="center"/>
        </w:trPr>
        <w:tc>
          <w:tcPr>
            <w:tcW w:w="955" w:type="dxa"/>
          </w:tcPr>
          <w:p w14:paraId="1F5EA44A" w14:textId="77777777" w:rsidR="00B06C99" w:rsidRPr="00355405" w:rsidRDefault="00FE609F" w:rsidP="00FE609F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3009" w:type="dxa"/>
          </w:tcPr>
          <w:p w14:paraId="0CD1615C" w14:textId="77777777" w:rsidR="00B06C99" w:rsidRPr="00355405" w:rsidRDefault="00B06C99" w:rsidP="0080306B">
            <w:pPr>
              <w:pStyle w:val="NoSpacing"/>
            </w:pPr>
            <w:r w:rsidRPr="00355405">
              <w:t>Additional Learning Su</w:t>
            </w:r>
            <w:r w:rsidR="006F7BCE">
              <w:t>pp</w:t>
            </w:r>
            <w:r w:rsidRPr="00355405">
              <w:t xml:space="preserve">ort Assistants (TAs) ensure that disadvantaged SEND </w:t>
            </w:r>
            <w:proofErr w:type="gramStart"/>
            <w:r w:rsidRPr="00355405">
              <w:t>students’</w:t>
            </w:r>
            <w:proofErr w:type="gramEnd"/>
            <w:r w:rsidRPr="00355405">
              <w:t xml:space="preserve"> are su</w:t>
            </w:r>
            <w:r w:rsidR="006F7BCE">
              <w:t>pp</w:t>
            </w:r>
            <w:r w:rsidRPr="00355405">
              <w:t>orted fully and make expected progress.</w:t>
            </w:r>
          </w:p>
        </w:tc>
        <w:tc>
          <w:tcPr>
            <w:tcW w:w="1559" w:type="dxa"/>
          </w:tcPr>
          <w:p w14:paraId="5790BBEB" w14:textId="77777777" w:rsidR="00B06C99" w:rsidRPr="00355405" w:rsidRDefault="00B06C99" w:rsidP="003E4752">
            <w:pPr>
              <w:pStyle w:val="NoSpacing"/>
              <w:jc w:val="center"/>
            </w:pPr>
            <w:r w:rsidRPr="00355405">
              <w:t>NCA / LMA</w:t>
            </w:r>
          </w:p>
        </w:tc>
        <w:tc>
          <w:tcPr>
            <w:tcW w:w="5812" w:type="dxa"/>
            <w:gridSpan w:val="2"/>
          </w:tcPr>
          <w:p w14:paraId="66861ABC" w14:textId="77777777" w:rsidR="00B06C99" w:rsidRPr="00355405" w:rsidRDefault="00B06C99" w:rsidP="0080306B">
            <w:pPr>
              <w:pStyle w:val="NoSpacing"/>
            </w:pPr>
            <w:r w:rsidRPr="00355405">
              <w:t>See SEND Action Plan.</w:t>
            </w:r>
          </w:p>
        </w:tc>
        <w:tc>
          <w:tcPr>
            <w:tcW w:w="2693" w:type="dxa"/>
          </w:tcPr>
          <w:p w14:paraId="41BC7B82" w14:textId="77777777" w:rsidR="00B06C99" w:rsidRPr="00355405" w:rsidRDefault="00B06C99" w:rsidP="0080306B">
            <w:pPr>
              <w:pStyle w:val="NoSpacing"/>
            </w:pPr>
            <w:r w:rsidRPr="00355405">
              <w:t>All disadvantaged SEND students make expected progress and have their social and emotional needs met.</w:t>
            </w:r>
          </w:p>
        </w:tc>
        <w:tc>
          <w:tcPr>
            <w:tcW w:w="1925" w:type="dxa"/>
          </w:tcPr>
          <w:p w14:paraId="76DB0290" w14:textId="77777777" w:rsidR="00B06C99" w:rsidRPr="00355405" w:rsidRDefault="000354F1" w:rsidP="0080306B">
            <w:pPr>
              <w:pStyle w:val="NoSpacing"/>
            </w:pPr>
            <w:r>
              <w:t>Costs as a</w:t>
            </w:r>
            <w:r w:rsidR="006F7BCE">
              <w:t>pp</w:t>
            </w:r>
            <w:r>
              <w:t>ropriate</w:t>
            </w:r>
          </w:p>
        </w:tc>
      </w:tr>
      <w:tr w:rsidR="00B06C99" w:rsidRPr="00355405" w14:paraId="0BB8623A" w14:textId="77777777" w:rsidTr="00080521">
        <w:trPr>
          <w:trHeight w:val="825"/>
          <w:jc w:val="center"/>
        </w:trPr>
        <w:tc>
          <w:tcPr>
            <w:tcW w:w="955" w:type="dxa"/>
          </w:tcPr>
          <w:p w14:paraId="19FA0590" w14:textId="77777777" w:rsidR="00B06C99" w:rsidRPr="00355405" w:rsidRDefault="00FE609F" w:rsidP="00FE609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09" w:type="dxa"/>
          </w:tcPr>
          <w:p w14:paraId="27B4139F" w14:textId="77777777" w:rsidR="00B06C99" w:rsidRPr="00355405" w:rsidRDefault="00B06C99" w:rsidP="006F7BCE">
            <w:pPr>
              <w:pStyle w:val="NoSpacing"/>
            </w:pPr>
            <w:r w:rsidRPr="00355405">
              <w:t>Ensure Year 11 have got access to a</w:t>
            </w:r>
            <w:r w:rsidR="006F7BCE">
              <w:t>pp</w:t>
            </w:r>
            <w:r w:rsidRPr="00355405">
              <w:t xml:space="preserve">ropriate revision materials </w:t>
            </w:r>
          </w:p>
        </w:tc>
        <w:tc>
          <w:tcPr>
            <w:tcW w:w="1559" w:type="dxa"/>
          </w:tcPr>
          <w:p w14:paraId="426177FA" w14:textId="77777777" w:rsidR="00B06C99" w:rsidRDefault="003E4752" w:rsidP="003E4752">
            <w:pPr>
              <w:pStyle w:val="NoSpacing"/>
              <w:jc w:val="center"/>
            </w:pPr>
            <w:r>
              <w:t>HOS’s</w:t>
            </w:r>
          </w:p>
          <w:p w14:paraId="30449B05" w14:textId="77777777" w:rsidR="003E4752" w:rsidRPr="00355405" w:rsidRDefault="003E4752" w:rsidP="003E4752">
            <w:pPr>
              <w:pStyle w:val="NoSpacing"/>
              <w:jc w:val="center"/>
            </w:pPr>
          </w:p>
          <w:p w14:paraId="52FBE98E" w14:textId="77777777" w:rsidR="00B06C99" w:rsidRDefault="00426BE7" w:rsidP="003E4752">
            <w:pPr>
              <w:pStyle w:val="NoSpacing"/>
              <w:jc w:val="center"/>
            </w:pPr>
            <w:r>
              <w:t>PWA</w:t>
            </w:r>
          </w:p>
          <w:p w14:paraId="253BC527" w14:textId="77777777" w:rsidR="003E4752" w:rsidRDefault="003E4752" w:rsidP="003E4752">
            <w:pPr>
              <w:pStyle w:val="NoSpacing"/>
              <w:jc w:val="center"/>
            </w:pPr>
          </w:p>
          <w:p w14:paraId="01073779" w14:textId="77777777" w:rsidR="003E4752" w:rsidRPr="00355405" w:rsidRDefault="003E4752" w:rsidP="003E4752">
            <w:pPr>
              <w:pStyle w:val="NoSpacing"/>
              <w:jc w:val="center"/>
            </w:pPr>
          </w:p>
        </w:tc>
        <w:tc>
          <w:tcPr>
            <w:tcW w:w="5812" w:type="dxa"/>
            <w:gridSpan w:val="2"/>
          </w:tcPr>
          <w:p w14:paraId="0CE7C951" w14:textId="77777777" w:rsidR="00B06C99" w:rsidRDefault="00B06C99" w:rsidP="0080306B">
            <w:pPr>
              <w:pStyle w:val="NoSpacing"/>
            </w:pPr>
            <w:r w:rsidRPr="00355405">
              <w:t>Order revision guides for core subject areas</w:t>
            </w:r>
            <w:r w:rsidR="0080306B">
              <w:t>.</w:t>
            </w:r>
          </w:p>
          <w:p w14:paraId="3322F049" w14:textId="77777777" w:rsidR="003E4752" w:rsidRDefault="003E4752" w:rsidP="0080306B">
            <w:pPr>
              <w:pStyle w:val="NoSpacing"/>
            </w:pPr>
          </w:p>
          <w:p w14:paraId="5E68E6EA" w14:textId="77777777" w:rsidR="00B06C99" w:rsidRDefault="00B06C99" w:rsidP="0080306B">
            <w:pPr>
              <w:pStyle w:val="NoSpacing"/>
            </w:pPr>
            <w:r w:rsidRPr="00355405">
              <w:t>Saturday revision schedule to be in place for year 11 cohort</w:t>
            </w:r>
            <w:r w:rsidR="0080306B">
              <w:t>.</w:t>
            </w:r>
          </w:p>
          <w:p w14:paraId="796F7EA7" w14:textId="77777777" w:rsidR="003E4752" w:rsidRDefault="003E4752" w:rsidP="0080306B">
            <w:pPr>
              <w:pStyle w:val="NoSpacing"/>
            </w:pPr>
          </w:p>
          <w:p w14:paraId="455AB485" w14:textId="77777777" w:rsidR="003E4752" w:rsidRPr="00355405" w:rsidRDefault="003E4752" w:rsidP="0080306B">
            <w:pPr>
              <w:pStyle w:val="NoSpacing"/>
            </w:pPr>
          </w:p>
        </w:tc>
        <w:tc>
          <w:tcPr>
            <w:tcW w:w="2693" w:type="dxa"/>
          </w:tcPr>
          <w:p w14:paraId="43CC22DD" w14:textId="77777777" w:rsidR="00B06C99" w:rsidRPr="00355405" w:rsidRDefault="00EF4301" w:rsidP="00EF4301">
            <w:pPr>
              <w:pStyle w:val="NoSpacing"/>
            </w:pPr>
            <w:r>
              <w:t>All</w:t>
            </w:r>
            <w:r w:rsidR="00B06C99" w:rsidRPr="00355405">
              <w:t xml:space="preserve"> Year 11 </w:t>
            </w:r>
            <w:r w:rsidR="006F7BCE">
              <w:t>PP</w:t>
            </w:r>
            <w:r w:rsidR="00B06C99" w:rsidRPr="00355405">
              <w:t xml:space="preserve"> students will access 5 or move Saturday revision sessions by July 201</w:t>
            </w:r>
            <w:r>
              <w:t>9</w:t>
            </w:r>
            <w:r w:rsidR="00B06C99" w:rsidRPr="00355405">
              <w:t>.</w:t>
            </w:r>
          </w:p>
        </w:tc>
        <w:tc>
          <w:tcPr>
            <w:tcW w:w="1925" w:type="dxa"/>
          </w:tcPr>
          <w:p w14:paraId="09625C3E" w14:textId="77777777" w:rsidR="00B06C99" w:rsidRPr="00355405" w:rsidRDefault="00693885" w:rsidP="0080306B">
            <w:pPr>
              <w:pStyle w:val="NoSpacing"/>
            </w:pPr>
            <w:r w:rsidRPr="00355405">
              <w:t>Saturday revision for year 11 =£15,000 budget.</w:t>
            </w:r>
          </w:p>
          <w:p w14:paraId="1D7975D7" w14:textId="77777777" w:rsidR="00693885" w:rsidRPr="00355405" w:rsidRDefault="00693885" w:rsidP="0080306B">
            <w:pPr>
              <w:pStyle w:val="NoSpacing"/>
            </w:pPr>
          </w:p>
          <w:p w14:paraId="57AA7F3D" w14:textId="77777777" w:rsidR="00693885" w:rsidRDefault="00693885" w:rsidP="0080306B">
            <w:pPr>
              <w:pStyle w:val="NoSpacing"/>
            </w:pPr>
            <w:r w:rsidRPr="00355405">
              <w:t>Cost of revision guides.</w:t>
            </w:r>
          </w:p>
          <w:p w14:paraId="42E02199" w14:textId="77777777" w:rsidR="003E4752" w:rsidRDefault="003E4752" w:rsidP="0080306B">
            <w:pPr>
              <w:pStyle w:val="NoSpacing"/>
            </w:pPr>
          </w:p>
          <w:p w14:paraId="2B75CDA4" w14:textId="77777777" w:rsidR="003E4752" w:rsidRDefault="003E4752" w:rsidP="0080306B">
            <w:pPr>
              <w:pStyle w:val="NoSpacing"/>
            </w:pPr>
            <w:r>
              <w:t>Cost of Ghyll Head residential.</w:t>
            </w:r>
          </w:p>
          <w:p w14:paraId="615EC4FF" w14:textId="77777777" w:rsidR="006F7BCE" w:rsidRPr="00355405" w:rsidRDefault="006F7BCE" w:rsidP="0080306B">
            <w:pPr>
              <w:pStyle w:val="NoSpacing"/>
            </w:pPr>
          </w:p>
        </w:tc>
      </w:tr>
      <w:tr w:rsidR="00B06C99" w:rsidRPr="00355405" w14:paraId="10489942" w14:textId="77777777" w:rsidTr="001B1968">
        <w:trPr>
          <w:jc w:val="center"/>
        </w:trPr>
        <w:tc>
          <w:tcPr>
            <w:tcW w:w="15953" w:type="dxa"/>
            <w:gridSpan w:val="7"/>
            <w:shd w:val="clear" w:color="auto" w:fill="95B3D7" w:themeFill="accent1" w:themeFillTint="99"/>
          </w:tcPr>
          <w:p w14:paraId="3B9CFAA6" w14:textId="77777777" w:rsidR="00B06C99" w:rsidRPr="00355405" w:rsidRDefault="00B06C99" w:rsidP="0080306B">
            <w:pPr>
              <w:pStyle w:val="NoSpacing"/>
            </w:pPr>
            <w:r w:rsidRPr="00355405">
              <w:rPr>
                <w:b/>
              </w:rPr>
              <w:lastRenderedPageBreak/>
              <w:t>Expected Outcome 2:</w:t>
            </w:r>
            <w:r w:rsidRPr="00355405">
              <w:t xml:space="preserve"> The use of </w:t>
            </w:r>
            <w:r w:rsidR="006F7BCE">
              <w:t>PP</w:t>
            </w:r>
            <w:r w:rsidRPr="00355405">
              <w:t xml:space="preserve"> funding is deployed effectively on staffing and resources t</w:t>
            </w:r>
            <w:r w:rsidR="00EF4301">
              <w:t xml:space="preserve">o deliver outcomes for students, </w:t>
            </w:r>
            <w:r w:rsidRPr="00355405">
              <w:t>especially in English and maths.</w:t>
            </w:r>
          </w:p>
        </w:tc>
      </w:tr>
      <w:tr w:rsidR="00B06C99" w:rsidRPr="00355405" w14:paraId="625A4CFB" w14:textId="77777777" w:rsidTr="00080521">
        <w:trPr>
          <w:jc w:val="center"/>
        </w:trPr>
        <w:tc>
          <w:tcPr>
            <w:tcW w:w="955" w:type="dxa"/>
            <w:shd w:val="clear" w:color="auto" w:fill="4F81BD" w:themeFill="accent1"/>
          </w:tcPr>
          <w:p w14:paraId="4C2C427B" w14:textId="77777777" w:rsidR="00B06C99" w:rsidRPr="00355405" w:rsidRDefault="00B06C99" w:rsidP="0080306B">
            <w:pPr>
              <w:pStyle w:val="NoSpacing"/>
            </w:pPr>
          </w:p>
        </w:tc>
        <w:tc>
          <w:tcPr>
            <w:tcW w:w="3009" w:type="dxa"/>
            <w:shd w:val="clear" w:color="auto" w:fill="4F81BD" w:themeFill="accent1"/>
          </w:tcPr>
          <w:p w14:paraId="58FF49CA" w14:textId="77777777" w:rsidR="00B06C99" w:rsidRPr="00355405" w:rsidRDefault="00B06C99" w:rsidP="0080306B">
            <w:pPr>
              <w:pStyle w:val="NoSpacing"/>
            </w:pPr>
            <w:r w:rsidRPr="00355405">
              <w:t>What will success look like?</w:t>
            </w:r>
          </w:p>
        </w:tc>
        <w:tc>
          <w:tcPr>
            <w:tcW w:w="1559" w:type="dxa"/>
            <w:shd w:val="clear" w:color="auto" w:fill="4F81BD" w:themeFill="accent1"/>
          </w:tcPr>
          <w:p w14:paraId="54BEB3CE" w14:textId="77777777" w:rsidR="00B06C99" w:rsidRPr="00355405" w:rsidRDefault="00B06C99" w:rsidP="00B30A6E">
            <w:pPr>
              <w:pStyle w:val="NoSpacing"/>
              <w:jc w:val="center"/>
            </w:pPr>
            <w:r w:rsidRPr="00355405">
              <w:t>Lead</w:t>
            </w:r>
          </w:p>
        </w:tc>
        <w:tc>
          <w:tcPr>
            <w:tcW w:w="5783" w:type="dxa"/>
            <w:shd w:val="clear" w:color="auto" w:fill="4F81BD" w:themeFill="accent1"/>
          </w:tcPr>
          <w:p w14:paraId="3304D57B" w14:textId="77777777" w:rsidR="00B06C99" w:rsidRPr="00355405" w:rsidRDefault="00B06C99" w:rsidP="0080306B">
            <w:pPr>
              <w:pStyle w:val="NoSpacing"/>
            </w:pPr>
            <w:r w:rsidRPr="00355405">
              <w:t>How will we get there (Actions)</w:t>
            </w:r>
          </w:p>
        </w:tc>
        <w:tc>
          <w:tcPr>
            <w:tcW w:w="2722" w:type="dxa"/>
            <w:gridSpan w:val="2"/>
            <w:shd w:val="clear" w:color="auto" w:fill="4F81BD" w:themeFill="accent1"/>
          </w:tcPr>
          <w:p w14:paraId="5B7E9BE2" w14:textId="77777777" w:rsidR="00B06C99" w:rsidRPr="00355405" w:rsidRDefault="00B06C99" w:rsidP="0080306B">
            <w:pPr>
              <w:pStyle w:val="NoSpacing"/>
            </w:pPr>
            <w:r w:rsidRPr="00355405"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14:paraId="232F22E4" w14:textId="77777777" w:rsidR="00B06C99" w:rsidRPr="00355405" w:rsidRDefault="00B06C99" w:rsidP="0080306B">
            <w:pPr>
              <w:pStyle w:val="NoSpacing"/>
            </w:pPr>
            <w:r w:rsidRPr="00355405">
              <w:t>Cost, training &amp; resources</w:t>
            </w:r>
          </w:p>
        </w:tc>
      </w:tr>
      <w:tr w:rsidR="00B06C99" w:rsidRPr="00355405" w14:paraId="318FBDAE" w14:textId="77777777" w:rsidTr="00080521">
        <w:trPr>
          <w:jc w:val="center"/>
        </w:trPr>
        <w:tc>
          <w:tcPr>
            <w:tcW w:w="955" w:type="dxa"/>
          </w:tcPr>
          <w:p w14:paraId="3D483650" w14:textId="77777777" w:rsidR="00B06C99" w:rsidRPr="00355405" w:rsidRDefault="00FE609F" w:rsidP="00FE609F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3009" w:type="dxa"/>
          </w:tcPr>
          <w:p w14:paraId="165881F1" w14:textId="77777777" w:rsidR="00B06C99" w:rsidRPr="00355405" w:rsidRDefault="00B06C99" w:rsidP="00426BE7">
            <w:pPr>
              <w:pStyle w:val="NoSpacing"/>
            </w:pPr>
            <w:r w:rsidRPr="00355405">
              <w:t>The provision of small group tuition in</w:t>
            </w:r>
            <w:r w:rsidR="00426BE7">
              <w:t xml:space="preserve"> English, </w:t>
            </w:r>
            <w:r w:rsidRPr="00355405">
              <w:t xml:space="preserve">maths </w:t>
            </w:r>
            <w:r w:rsidR="00426BE7">
              <w:t xml:space="preserve">and science </w:t>
            </w:r>
            <w:r w:rsidRPr="00355405">
              <w:t>improves progress for disadvantaged students.</w:t>
            </w:r>
          </w:p>
        </w:tc>
        <w:tc>
          <w:tcPr>
            <w:tcW w:w="1559" w:type="dxa"/>
          </w:tcPr>
          <w:p w14:paraId="5C7DBD16" w14:textId="77777777" w:rsidR="00B06C99" w:rsidRPr="00355405" w:rsidRDefault="00426BE7" w:rsidP="00426BE7">
            <w:pPr>
              <w:pStyle w:val="NoSpacing"/>
              <w:jc w:val="center"/>
            </w:pPr>
            <w:r>
              <w:t xml:space="preserve">KWA, </w:t>
            </w:r>
            <w:proofErr w:type="gramStart"/>
            <w:r>
              <w:t>ABUMCRE,CWY</w:t>
            </w:r>
            <w:proofErr w:type="gramEnd"/>
            <w:r>
              <w:t>,DGI, SME</w:t>
            </w:r>
          </w:p>
          <w:p w14:paraId="5ECBDA38" w14:textId="77777777" w:rsidR="00B06C99" w:rsidRPr="00355405" w:rsidRDefault="00B06C99" w:rsidP="00B30A6E">
            <w:pPr>
              <w:pStyle w:val="NoSpacing"/>
            </w:pPr>
          </w:p>
        </w:tc>
        <w:tc>
          <w:tcPr>
            <w:tcW w:w="5783" w:type="dxa"/>
          </w:tcPr>
          <w:p w14:paraId="4D7F7F65" w14:textId="77777777" w:rsidR="00B06C99" w:rsidRPr="00355405" w:rsidRDefault="00426BE7" w:rsidP="0080306B">
            <w:pPr>
              <w:pStyle w:val="NoSpacing"/>
            </w:pPr>
            <w:r>
              <w:t>Form time intervention programme t</w:t>
            </w:r>
            <w:r w:rsidR="007866B9">
              <w:t xml:space="preserve">argeting marginal gain </w:t>
            </w:r>
            <w:r w:rsidR="00B30A6E">
              <w:t xml:space="preserve">pupil premium </w:t>
            </w:r>
            <w:r w:rsidR="007866B9">
              <w:t xml:space="preserve">students.  </w:t>
            </w:r>
          </w:p>
        </w:tc>
        <w:tc>
          <w:tcPr>
            <w:tcW w:w="2722" w:type="dxa"/>
            <w:gridSpan w:val="2"/>
          </w:tcPr>
          <w:p w14:paraId="2F47127F" w14:textId="77777777" w:rsidR="00B06C99" w:rsidRPr="00355405" w:rsidRDefault="00B06C99" w:rsidP="007866B9">
            <w:pPr>
              <w:pStyle w:val="NoSpacing"/>
            </w:pPr>
            <w:r w:rsidRPr="00355405">
              <w:t xml:space="preserve">Evidence of reducing gaps in </w:t>
            </w:r>
            <w:r w:rsidR="007866B9">
              <w:t>mock exams</w:t>
            </w:r>
            <w:r w:rsidRPr="00355405">
              <w:t>.</w:t>
            </w:r>
          </w:p>
        </w:tc>
        <w:tc>
          <w:tcPr>
            <w:tcW w:w="1925" w:type="dxa"/>
          </w:tcPr>
          <w:p w14:paraId="549D4C94" w14:textId="77777777" w:rsidR="00B06C99" w:rsidRPr="00355405" w:rsidRDefault="0075097C" w:rsidP="0080306B">
            <w:pPr>
              <w:pStyle w:val="NoSpacing"/>
            </w:pPr>
            <w:r>
              <w:t>Cost of additional English and maths teachers</w:t>
            </w:r>
            <w:r w:rsidR="00CC44AC">
              <w:t>.</w:t>
            </w:r>
          </w:p>
        </w:tc>
      </w:tr>
      <w:tr w:rsidR="000F12F7" w:rsidRPr="00355405" w14:paraId="6EA556BA" w14:textId="77777777" w:rsidTr="00080521">
        <w:trPr>
          <w:jc w:val="center"/>
        </w:trPr>
        <w:tc>
          <w:tcPr>
            <w:tcW w:w="955" w:type="dxa"/>
          </w:tcPr>
          <w:p w14:paraId="726C95F9" w14:textId="77777777" w:rsidR="000F12F7" w:rsidRDefault="000F12F7" w:rsidP="00FE609F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3009" w:type="dxa"/>
          </w:tcPr>
          <w:p w14:paraId="4AC26286" w14:textId="77777777" w:rsidR="000F12F7" w:rsidRPr="00355405" w:rsidRDefault="000F12F7" w:rsidP="00426BE7">
            <w:pPr>
              <w:pStyle w:val="NoSpacing"/>
            </w:pPr>
            <w:r>
              <w:t xml:space="preserve">Fund the cost of Year 11 intervention manager </w:t>
            </w:r>
          </w:p>
        </w:tc>
        <w:tc>
          <w:tcPr>
            <w:tcW w:w="1559" w:type="dxa"/>
          </w:tcPr>
          <w:p w14:paraId="1E4A8C44" w14:textId="77777777" w:rsidR="000F12F7" w:rsidRDefault="000F12F7" w:rsidP="00426BE7">
            <w:pPr>
              <w:pStyle w:val="NoSpacing"/>
              <w:jc w:val="center"/>
            </w:pPr>
            <w:r>
              <w:t>CWY</w:t>
            </w:r>
          </w:p>
        </w:tc>
        <w:tc>
          <w:tcPr>
            <w:tcW w:w="5783" w:type="dxa"/>
          </w:tcPr>
          <w:p w14:paraId="2CF3E186" w14:textId="77777777" w:rsidR="000F12F7" w:rsidRDefault="000F12F7" w:rsidP="0080306B">
            <w:pPr>
              <w:pStyle w:val="NoSpacing"/>
            </w:pPr>
            <w:r>
              <w:t xml:space="preserve">To monitor and offer additional intervention as </w:t>
            </w:r>
            <w:r w:rsidR="005B534B">
              <w:t>appropriate</w:t>
            </w:r>
            <w:r>
              <w:t xml:space="preserve"> through mentoring and wellbeing </w:t>
            </w:r>
            <w:r w:rsidR="005B534B">
              <w:t>support</w:t>
            </w:r>
            <w:r>
              <w:t>. To remove any barriers to academic success and to track progress and performance.</w:t>
            </w:r>
          </w:p>
        </w:tc>
        <w:tc>
          <w:tcPr>
            <w:tcW w:w="2722" w:type="dxa"/>
            <w:gridSpan w:val="2"/>
          </w:tcPr>
          <w:p w14:paraId="231F9CD6" w14:textId="77777777" w:rsidR="000F12F7" w:rsidRPr="00355405" w:rsidRDefault="000F12F7" w:rsidP="007866B9">
            <w:pPr>
              <w:pStyle w:val="NoSpacing"/>
            </w:pPr>
            <w:r w:rsidRPr="00355405">
              <w:t xml:space="preserve">Evidence of reducing gaps in </w:t>
            </w:r>
            <w:r>
              <w:t>mock exams</w:t>
            </w:r>
            <w:r w:rsidRPr="00355405">
              <w:t>.</w:t>
            </w:r>
          </w:p>
        </w:tc>
        <w:tc>
          <w:tcPr>
            <w:tcW w:w="1925" w:type="dxa"/>
          </w:tcPr>
          <w:p w14:paraId="0ED07857" w14:textId="77777777" w:rsidR="000F12F7" w:rsidRDefault="000F12F7" w:rsidP="0080306B">
            <w:pPr>
              <w:pStyle w:val="NoSpacing"/>
            </w:pPr>
            <w:r>
              <w:t>£28,000</w:t>
            </w:r>
          </w:p>
        </w:tc>
      </w:tr>
      <w:tr w:rsidR="00B30A6E" w:rsidRPr="00355405" w14:paraId="3B17BE2F" w14:textId="77777777" w:rsidTr="00080521">
        <w:trPr>
          <w:jc w:val="center"/>
        </w:trPr>
        <w:tc>
          <w:tcPr>
            <w:tcW w:w="955" w:type="dxa"/>
          </w:tcPr>
          <w:p w14:paraId="57FD1574" w14:textId="77777777" w:rsidR="00B30A6E" w:rsidRDefault="00B30A6E" w:rsidP="00FE609F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3009" w:type="dxa"/>
          </w:tcPr>
          <w:p w14:paraId="232CF4F5" w14:textId="77777777" w:rsidR="00B30A6E" w:rsidRDefault="00B30A6E" w:rsidP="00426BE7">
            <w:pPr>
              <w:pStyle w:val="NoSpacing"/>
            </w:pPr>
            <w:r>
              <w:t xml:space="preserve">Fund the cost of the Ghyll Head residential weekend </w:t>
            </w:r>
          </w:p>
        </w:tc>
        <w:tc>
          <w:tcPr>
            <w:tcW w:w="1559" w:type="dxa"/>
          </w:tcPr>
          <w:p w14:paraId="0EBE3179" w14:textId="77777777" w:rsidR="00B30A6E" w:rsidRDefault="00B30A6E" w:rsidP="00426BE7">
            <w:pPr>
              <w:pStyle w:val="NoSpacing"/>
              <w:jc w:val="center"/>
            </w:pPr>
            <w:r>
              <w:t>PWA</w:t>
            </w:r>
          </w:p>
        </w:tc>
        <w:tc>
          <w:tcPr>
            <w:tcW w:w="5783" w:type="dxa"/>
          </w:tcPr>
          <w:p w14:paraId="317CB9F6" w14:textId="77777777" w:rsidR="00B30A6E" w:rsidRDefault="00B30A6E" w:rsidP="0080306B">
            <w:pPr>
              <w:pStyle w:val="NoSpacing"/>
            </w:pPr>
            <w:r>
              <w:t xml:space="preserve">All underperforming pupil premium students to be invited to residential weekend.  </w:t>
            </w:r>
          </w:p>
        </w:tc>
        <w:tc>
          <w:tcPr>
            <w:tcW w:w="2722" w:type="dxa"/>
            <w:gridSpan w:val="2"/>
          </w:tcPr>
          <w:p w14:paraId="18F6E564" w14:textId="77777777" w:rsidR="00B30A6E" w:rsidRPr="00355405" w:rsidRDefault="00B30A6E" w:rsidP="00B30A6E">
            <w:pPr>
              <w:pStyle w:val="NoSpacing"/>
            </w:pPr>
            <w:r w:rsidRPr="00355405">
              <w:t xml:space="preserve">Improve the Progress 8 measure amongst </w:t>
            </w:r>
            <w:r>
              <w:t>PP</w:t>
            </w:r>
            <w:r w:rsidRPr="00355405">
              <w:t xml:space="preserve"> students fro</w:t>
            </w:r>
            <w:r>
              <w:t>m -0.448</w:t>
            </w:r>
            <w:r w:rsidRPr="00355405">
              <w:t xml:space="preserve"> </w:t>
            </w:r>
            <w:r>
              <w:t xml:space="preserve">(2017/18) </w:t>
            </w:r>
            <w:r w:rsidRPr="00355405">
              <w:t xml:space="preserve">to better </w:t>
            </w:r>
            <w:r w:rsidR="005B534B" w:rsidRPr="00355405">
              <w:t xml:space="preserve">than </w:t>
            </w:r>
            <w:r w:rsidR="005B534B">
              <w:t>-</w:t>
            </w:r>
            <w:r>
              <w:t>0.2 by July 2019</w:t>
            </w:r>
            <w:r w:rsidRPr="00355405">
              <w:t xml:space="preserve">.  </w:t>
            </w:r>
          </w:p>
          <w:p w14:paraId="52CAEAB2" w14:textId="77777777" w:rsidR="00B30A6E" w:rsidRPr="00355405" w:rsidRDefault="00B30A6E" w:rsidP="007866B9">
            <w:pPr>
              <w:pStyle w:val="NoSpacing"/>
            </w:pPr>
          </w:p>
        </w:tc>
        <w:tc>
          <w:tcPr>
            <w:tcW w:w="1925" w:type="dxa"/>
          </w:tcPr>
          <w:p w14:paraId="4D9A7F70" w14:textId="77777777" w:rsidR="00B30A6E" w:rsidRDefault="00B30A6E" w:rsidP="0080306B">
            <w:pPr>
              <w:pStyle w:val="NoSpacing"/>
            </w:pPr>
            <w:r>
              <w:t xml:space="preserve">Cost of </w:t>
            </w:r>
            <w:proofErr w:type="spellStart"/>
            <w:r>
              <w:t>Gyhll</w:t>
            </w:r>
            <w:proofErr w:type="spellEnd"/>
            <w:r>
              <w:t xml:space="preserve"> Head residential weekend</w:t>
            </w:r>
          </w:p>
        </w:tc>
      </w:tr>
      <w:tr w:rsidR="007866B9" w:rsidRPr="00355405" w14:paraId="01F0B025" w14:textId="77777777" w:rsidTr="00080521">
        <w:trPr>
          <w:jc w:val="center"/>
        </w:trPr>
        <w:tc>
          <w:tcPr>
            <w:tcW w:w="955" w:type="dxa"/>
          </w:tcPr>
          <w:p w14:paraId="18E7EA64" w14:textId="77777777" w:rsidR="007866B9" w:rsidRDefault="007866B9" w:rsidP="00FE609F">
            <w:pPr>
              <w:pStyle w:val="NoSpacing"/>
              <w:jc w:val="center"/>
            </w:pPr>
            <w:r>
              <w:t>1/2</w:t>
            </w:r>
          </w:p>
        </w:tc>
        <w:tc>
          <w:tcPr>
            <w:tcW w:w="3009" w:type="dxa"/>
          </w:tcPr>
          <w:p w14:paraId="1417C597" w14:textId="77777777" w:rsidR="007866B9" w:rsidRDefault="00B30A6E" w:rsidP="0080306B">
            <w:pPr>
              <w:pStyle w:val="NoSpacing"/>
            </w:pPr>
            <w:r>
              <w:t xml:space="preserve">Improved progress in </w:t>
            </w:r>
            <w:proofErr w:type="gramStart"/>
            <w:r>
              <w:t>science</w:t>
            </w:r>
            <w:r w:rsidR="0066649F">
              <w:t>;</w:t>
            </w:r>
            <w:proofErr w:type="gramEnd"/>
          </w:p>
          <w:p w14:paraId="6F03DB5D" w14:textId="77777777" w:rsidR="00B30A6E" w:rsidRPr="00355405" w:rsidRDefault="00B30A6E" w:rsidP="0080306B">
            <w:pPr>
              <w:pStyle w:val="NoSpacing"/>
            </w:pPr>
            <w:r>
              <w:t xml:space="preserve">Fund </w:t>
            </w:r>
            <w:r w:rsidR="0066649F">
              <w:t xml:space="preserve">additional </w:t>
            </w:r>
            <w:r>
              <w:t xml:space="preserve">two staff salaries in science department </w:t>
            </w:r>
          </w:p>
        </w:tc>
        <w:tc>
          <w:tcPr>
            <w:tcW w:w="1559" w:type="dxa"/>
          </w:tcPr>
          <w:p w14:paraId="020370C1" w14:textId="77777777" w:rsidR="007866B9" w:rsidRDefault="007866B9" w:rsidP="00534F0B">
            <w:pPr>
              <w:pStyle w:val="NoSpacing"/>
              <w:jc w:val="center"/>
            </w:pPr>
            <w:r>
              <w:t>ABU</w:t>
            </w:r>
          </w:p>
          <w:p w14:paraId="59095A3A" w14:textId="77777777" w:rsidR="00B30A6E" w:rsidRDefault="00B30A6E" w:rsidP="00534F0B">
            <w:pPr>
              <w:pStyle w:val="NoSpacing"/>
              <w:jc w:val="center"/>
            </w:pPr>
          </w:p>
          <w:p w14:paraId="56D7532A" w14:textId="77777777" w:rsidR="00B30A6E" w:rsidRDefault="00B30A6E" w:rsidP="00534F0B">
            <w:pPr>
              <w:pStyle w:val="NoSpacing"/>
              <w:jc w:val="center"/>
            </w:pPr>
          </w:p>
          <w:p w14:paraId="1D9E58E9" w14:textId="77777777" w:rsidR="00B30A6E" w:rsidRDefault="00B30A6E" w:rsidP="00534F0B">
            <w:pPr>
              <w:pStyle w:val="NoSpacing"/>
              <w:jc w:val="center"/>
            </w:pPr>
          </w:p>
          <w:p w14:paraId="5EC5B6A3" w14:textId="77777777" w:rsidR="00B30A6E" w:rsidRDefault="00B30A6E" w:rsidP="00534F0B">
            <w:pPr>
              <w:pStyle w:val="NoSpacing"/>
              <w:jc w:val="center"/>
            </w:pPr>
          </w:p>
          <w:p w14:paraId="61FC7CCE" w14:textId="77777777" w:rsidR="00B30A6E" w:rsidRDefault="00B30A6E" w:rsidP="00534F0B">
            <w:pPr>
              <w:pStyle w:val="NoSpacing"/>
              <w:jc w:val="center"/>
            </w:pPr>
          </w:p>
          <w:p w14:paraId="2E4CD2C3" w14:textId="77777777" w:rsidR="00B30A6E" w:rsidRPr="00355405" w:rsidRDefault="00B30A6E" w:rsidP="00534F0B">
            <w:pPr>
              <w:pStyle w:val="NoSpacing"/>
              <w:jc w:val="center"/>
            </w:pPr>
            <w:r>
              <w:t>ABU</w:t>
            </w:r>
          </w:p>
        </w:tc>
        <w:tc>
          <w:tcPr>
            <w:tcW w:w="5783" w:type="dxa"/>
          </w:tcPr>
          <w:p w14:paraId="543E5A35" w14:textId="77777777" w:rsidR="007866B9" w:rsidRDefault="007866B9" w:rsidP="007866B9">
            <w:pPr>
              <w:pStyle w:val="NoSpacing"/>
              <w:rPr>
                <w:color w:val="FF0000"/>
                <w:lang w:val="en-US"/>
              </w:rPr>
            </w:pPr>
            <w:r>
              <w:t xml:space="preserve">Additional staffing in science department to reduce the class sizes.  </w:t>
            </w:r>
            <w:r w:rsidRPr="00EF4301">
              <w:rPr>
                <w:color w:val="FF0000"/>
                <w:lang w:val="en-US"/>
              </w:rPr>
              <w:t xml:space="preserve">(Research reviewed by the Education </w:t>
            </w:r>
            <w:r w:rsidR="005B534B" w:rsidRPr="00EF4301">
              <w:rPr>
                <w:color w:val="FF0000"/>
                <w:lang w:val="en-US"/>
              </w:rPr>
              <w:t>Endowment</w:t>
            </w:r>
            <w:r w:rsidRPr="00EF4301">
              <w:rPr>
                <w:color w:val="FF0000"/>
                <w:lang w:val="en-US"/>
              </w:rPr>
              <w:t xml:space="preserve"> Fund suggests that the provision of smaller class sizes can lead to an average of three additional months’ progress over the course of a year).</w:t>
            </w:r>
          </w:p>
          <w:p w14:paraId="77177526" w14:textId="77777777" w:rsidR="002D4940" w:rsidRDefault="002D4940" w:rsidP="007866B9">
            <w:pPr>
              <w:pStyle w:val="NoSpacing"/>
              <w:rPr>
                <w:color w:val="FF0000"/>
                <w:lang w:val="en-US"/>
              </w:rPr>
            </w:pPr>
          </w:p>
          <w:p w14:paraId="59F62119" w14:textId="77777777" w:rsidR="002D4940" w:rsidRPr="00355405" w:rsidRDefault="002D4940" w:rsidP="007866B9">
            <w:pPr>
              <w:pStyle w:val="NoSpacing"/>
            </w:pPr>
            <w:r w:rsidRPr="002D4940">
              <w:rPr>
                <w:lang w:val="en-US"/>
              </w:rPr>
              <w:t xml:space="preserve">Bespoke CPD for all science staff focusing on </w:t>
            </w:r>
            <w:r w:rsidR="005B534B" w:rsidRPr="002D4940">
              <w:rPr>
                <w:lang w:val="en-US"/>
              </w:rPr>
              <w:t>we</w:t>
            </w:r>
            <w:r w:rsidRPr="002D4940">
              <w:rPr>
                <w:lang w:val="en-US"/>
              </w:rPr>
              <w:t xml:space="preserve"> specification requirements </w:t>
            </w:r>
          </w:p>
        </w:tc>
        <w:tc>
          <w:tcPr>
            <w:tcW w:w="2722" w:type="dxa"/>
            <w:gridSpan w:val="2"/>
          </w:tcPr>
          <w:p w14:paraId="5260A44E" w14:textId="77777777" w:rsidR="007866B9" w:rsidRPr="00355405" w:rsidRDefault="007866B9" w:rsidP="004C29E5">
            <w:pPr>
              <w:pStyle w:val="NoSpacing"/>
            </w:pPr>
            <w:r>
              <w:t xml:space="preserve">Improved % </w:t>
            </w:r>
            <w:r w:rsidR="004C29E5">
              <w:t xml:space="preserve">of </w:t>
            </w:r>
            <w:r w:rsidR="006F7BCE">
              <w:t>PP</w:t>
            </w:r>
            <w:r w:rsidR="004C29E5">
              <w:t xml:space="preserve"> students achieving 2 x grade 4+ from 37.5% </w:t>
            </w:r>
            <w:r>
              <w:t xml:space="preserve">2018 to </w:t>
            </w:r>
            <w:r w:rsidR="004C29E5">
              <w:t xml:space="preserve">better than 50% </w:t>
            </w:r>
            <w:r>
              <w:t xml:space="preserve">in 2019. </w:t>
            </w:r>
          </w:p>
        </w:tc>
        <w:tc>
          <w:tcPr>
            <w:tcW w:w="1925" w:type="dxa"/>
          </w:tcPr>
          <w:p w14:paraId="608C3793" w14:textId="77777777" w:rsidR="007866B9" w:rsidRDefault="00B30A6E" w:rsidP="0080306B">
            <w:pPr>
              <w:pStyle w:val="NoSpacing"/>
            </w:pPr>
            <w:r>
              <w:t>Cost of science staff salaries</w:t>
            </w:r>
          </w:p>
          <w:p w14:paraId="7E3CEA2D" w14:textId="77777777" w:rsidR="00B30A6E" w:rsidRDefault="00B30A6E" w:rsidP="0080306B">
            <w:pPr>
              <w:pStyle w:val="NoSpacing"/>
            </w:pPr>
            <w:r>
              <w:t>£50,000</w:t>
            </w:r>
          </w:p>
        </w:tc>
      </w:tr>
      <w:tr w:rsidR="00B06C99" w:rsidRPr="00355405" w14:paraId="2ABC5D4A" w14:textId="77777777" w:rsidTr="00043FDB">
        <w:trPr>
          <w:trHeight w:val="976"/>
          <w:jc w:val="center"/>
        </w:trPr>
        <w:tc>
          <w:tcPr>
            <w:tcW w:w="955" w:type="dxa"/>
          </w:tcPr>
          <w:p w14:paraId="09A22F38" w14:textId="77777777" w:rsidR="00B06C99" w:rsidRPr="00355405" w:rsidRDefault="00FE609F" w:rsidP="00FE609F">
            <w:pPr>
              <w:pStyle w:val="NoSpacing"/>
              <w:jc w:val="center"/>
            </w:pPr>
            <w:r>
              <w:t>2/3</w:t>
            </w:r>
          </w:p>
        </w:tc>
        <w:tc>
          <w:tcPr>
            <w:tcW w:w="3009" w:type="dxa"/>
          </w:tcPr>
          <w:p w14:paraId="2DFA3E88" w14:textId="77777777" w:rsidR="00B06C99" w:rsidRPr="00355405" w:rsidRDefault="00B06C99" w:rsidP="0080306B">
            <w:pPr>
              <w:pStyle w:val="NoSpacing"/>
            </w:pPr>
            <w:r w:rsidRPr="00355405">
              <w:t>Reading Ages of disadvantaged students with Reading ages of 10yrs and under, make accelerated progress.</w:t>
            </w:r>
          </w:p>
        </w:tc>
        <w:tc>
          <w:tcPr>
            <w:tcW w:w="1559" w:type="dxa"/>
          </w:tcPr>
          <w:p w14:paraId="743DA0F0" w14:textId="77777777" w:rsidR="00B06C99" w:rsidRPr="00355405" w:rsidRDefault="00374E16" w:rsidP="00534F0B">
            <w:pPr>
              <w:pStyle w:val="NoSpacing"/>
              <w:jc w:val="center"/>
            </w:pPr>
            <w:r>
              <w:t>Reading coordinator</w:t>
            </w:r>
          </w:p>
          <w:p w14:paraId="7B541B52" w14:textId="77777777" w:rsidR="00B06C99" w:rsidRPr="00355405" w:rsidRDefault="00B06C99" w:rsidP="00534F0B">
            <w:pPr>
              <w:pStyle w:val="NoSpacing"/>
              <w:jc w:val="center"/>
            </w:pPr>
          </w:p>
          <w:p w14:paraId="64A9123F" w14:textId="77777777" w:rsidR="00374E16" w:rsidRPr="00355405" w:rsidRDefault="00374E16" w:rsidP="00374E16">
            <w:pPr>
              <w:pStyle w:val="NoSpacing"/>
              <w:jc w:val="center"/>
            </w:pPr>
            <w:r>
              <w:t>Reading coordinator</w:t>
            </w:r>
          </w:p>
          <w:p w14:paraId="452DE5A9" w14:textId="77777777" w:rsidR="00B06C99" w:rsidRPr="00355405" w:rsidRDefault="00B06C99" w:rsidP="00534F0B">
            <w:pPr>
              <w:pStyle w:val="NoSpacing"/>
              <w:jc w:val="center"/>
            </w:pPr>
          </w:p>
          <w:p w14:paraId="0CD05805" w14:textId="77777777" w:rsidR="00B06C99" w:rsidRPr="00355405" w:rsidRDefault="00B06C99" w:rsidP="00534F0B">
            <w:pPr>
              <w:pStyle w:val="NoSpacing"/>
              <w:jc w:val="center"/>
            </w:pPr>
          </w:p>
          <w:p w14:paraId="2FCD6034" w14:textId="77777777" w:rsidR="00374E16" w:rsidRPr="00355405" w:rsidRDefault="00374E16" w:rsidP="00374E16">
            <w:pPr>
              <w:pStyle w:val="NoSpacing"/>
              <w:jc w:val="center"/>
            </w:pPr>
            <w:r>
              <w:t>Reading coordinator</w:t>
            </w:r>
          </w:p>
          <w:p w14:paraId="74F0810E" w14:textId="77777777" w:rsidR="00B06C99" w:rsidRDefault="00B06C99" w:rsidP="00534F0B">
            <w:pPr>
              <w:pStyle w:val="NoSpacing"/>
              <w:jc w:val="center"/>
            </w:pPr>
          </w:p>
          <w:p w14:paraId="4993F1F1" w14:textId="77777777" w:rsidR="00374E16" w:rsidRDefault="00374E16" w:rsidP="00534F0B">
            <w:pPr>
              <w:pStyle w:val="NoSpacing"/>
              <w:jc w:val="center"/>
            </w:pPr>
          </w:p>
          <w:p w14:paraId="4BB58E21" w14:textId="77777777" w:rsidR="00B06C99" w:rsidRPr="00355405" w:rsidRDefault="00B06C99" w:rsidP="00043FDB">
            <w:pPr>
              <w:pStyle w:val="NoSpacing"/>
            </w:pPr>
          </w:p>
        </w:tc>
        <w:tc>
          <w:tcPr>
            <w:tcW w:w="5783" w:type="dxa"/>
          </w:tcPr>
          <w:p w14:paraId="0F1A7131" w14:textId="77777777" w:rsidR="00B06C99" w:rsidRPr="00355405" w:rsidRDefault="00B06C99" w:rsidP="0080306B">
            <w:pPr>
              <w:pStyle w:val="NoSpacing"/>
            </w:pPr>
            <w:r w:rsidRPr="00355405">
              <w:t>Reading age tests to be completed in HT1</w:t>
            </w:r>
          </w:p>
          <w:p w14:paraId="0475192E" w14:textId="77777777" w:rsidR="00B06C99" w:rsidRPr="00355405" w:rsidRDefault="00B06C99" w:rsidP="0080306B">
            <w:pPr>
              <w:pStyle w:val="NoSpacing"/>
            </w:pPr>
          </w:p>
          <w:p w14:paraId="1B53ABEA" w14:textId="77777777" w:rsidR="00374E16" w:rsidRDefault="00374E16" w:rsidP="0080306B">
            <w:pPr>
              <w:pStyle w:val="NoSpacing"/>
            </w:pPr>
          </w:p>
          <w:p w14:paraId="73F6FE4E" w14:textId="77777777" w:rsidR="00B06C99" w:rsidRPr="00355405" w:rsidRDefault="00B06C99" w:rsidP="0080306B">
            <w:pPr>
              <w:pStyle w:val="NoSpacing"/>
            </w:pPr>
            <w:r w:rsidRPr="00355405">
              <w:t>Class reader activity to form part of progress time curriculum.</w:t>
            </w:r>
          </w:p>
          <w:p w14:paraId="6586EF6B" w14:textId="77777777" w:rsidR="00B06C99" w:rsidRPr="00355405" w:rsidRDefault="00B06C99" w:rsidP="0080306B">
            <w:pPr>
              <w:pStyle w:val="NoSpacing"/>
            </w:pPr>
          </w:p>
          <w:p w14:paraId="049BCA18" w14:textId="77777777" w:rsidR="00374E16" w:rsidRDefault="00374E16" w:rsidP="0080306B">
            <w:pPr>
              <w:pStyle w:val="NoSpacing"/>
              <w:rPr>
                <w:rFonts w:cs="Calibri"/>
                <w:lang w:val="en-US"/>
              </w:rPr>
            </w:pPr>
          </w:p>
          <w:p w14:paraId="67A4B59C" w14:textId="77777777" w:rsidR="006A2F9C" w:rsidRDefault="006A2F9C" w:rsidP="0080306B">
            <w:pPr>
              <w:pStyle w:val="NoSpacing"/>
              <w:rPr>
                <w:rFonts w:cs="Calibri"/>
                <w:lang w:val="en-US"/>
              </w:rPr>
            </w:pPr>
          </w:p>
          <w:p w14:paraId="34D81909" w14:textId="77777777" w:rsidR="0080306B" w:rsidRPr="00355405" w:rsidRDefault="00B06C99" w:rsidP="0080306B">
            <w:pPr>
              <w:pStyle w:val="NoSpacing"/>
            </w:pPr>
            <w:r w:rsidRPr="00355405">
              <w:t>See Literacy Strategy Action Plan,</w:t>
            </w:r>
            <w:r w:rsidR="001A0AF4">
              <w:t xml:space="preserve"> EAL Action Plan and Project 11.</w:t>
            </w:r>
          </w:p>
        </w:tc>
        <w:tc>
          <w:tcPr>
            <w:tcW w:w="2722" w:type="dxa"/>
            <w:gridSpan w:val="2"/>
          </w:tcPr>
          <w:p w14:paraId="61452F4E" w14:textId="77777777" w:rsidR="00B06C99" w:rsidRPr="00355405" w:rsidRDefault="00B06C99" w:rsidP="0080306B">
            <w:pPr>
              <w:pStyle w:val="NoSpacing"/>
            </w:pPr>
            <w:r w:rsidRPr="00355405">
              <w:t xml:space="preserve">Reading Ages of disadvantaged students will improve to match those of their peers.  </w:t>
            </w:r>
          </w:p>
          <w:p w14:paraId="3634B6A7" w14:textId="77777777" w:rsidR="00B06C99" w:rsidRDefault="00B06C99" w:rsidP="0080306B">
            <w:pPr>
              <w:pStyle w:val="NoSpacing"/>
            </w:pPr>
          </w:p>
          <w:p w14:paraId="1F4FED0D" w14:textId="77777777" w:rsidR="0075097C" w:rsidRDefault="0075097C" w:rsidP="0080306B">
            <w:r>
              <w:t xml:space="preserve">Reading ages improve across the school by an average of 20 months </w:t>
            </w:r>
          </w:p>
          <w:p w14:paraId="5845D108" w14:textId="77777777" w:rsidR="00043FDB" w:rsidRDefault="00043FDB" w:rsidP="0080306B"/>
          <w:p w14:paraId="0970FA6C" w14:textId="77777777" w:rsidR="006F7BCE" w:rsidRDefault="00B06C99" w:rsidP="0080306B">
            <w:pPr>
              <w:pStyle w:val="NoSpacing"/>
            </w:pPr>
            <w:r w:rsidRPr="00355405">
              <w:t xml:space="preserve">Improved numbers of </w:t>
            </w:r>
            <w:r w:rsidR="006F7BCE">
              <w:t>PP</w:t>
            </w:r>
            <w:r w:rsidRPr="00355405">
              <w:t xml:space="preserve"> students regularly accessing the library.  </w:t>
            </w:r>
          </w:p>
          <w:p w14:paraId="4E43C4E5" w14:textId="77777777" w:rsidR="003D7592" w:rsidRPr="00355405" w:rsidRDefault="003D7592" w:rsidP="0080306B">
            <w:pPr>
              <w:pStyle w:val="NoSpacing"/>
            </w:pPr>
          </w:p>
        </w:tc>
        <w:tc>
          <w:tcPr>
            <w:tcW w:w="1925" w:type="dxa"/>
          </w:tcPr>
          <w:p w14:paraId="18E55FDB" w14:textId="77777777" w:rsidR="00B06C99" w:rsidRDefault="006A2F9C" w:rsidP="0080306B">
            <w:pPr>
              <w:pStyle w:val="NoSpacing"/>
            </w:pPr>
            <w:r>
              <w:t>Costs of reading age tests.</w:t>
            </w:r>
          </w:p>
          <w:p w14:paraId="329B2628" w14:textId="77777777" w:rsidR="006A2F9C" w:rsidRDefault="006A2F9C" w:rsidP="0080306B">
            <w:pPr>
              <w:pStyle w:val="NoSpacing"/>
            </w:pPr>
            <w:r>
              <w:br/>
              <w:t xml:space="preserve">Cost of reading books available in </w:t>
            </w:r>
            <w:r w:rsidR="005B534B">
              <w:t>progress</w:t>
            </w:r>
            <w:r>
              <w:t xml:space="preserve"> time.</w:t>
            </w:r>
          </w:p>
          <w:p w14:paraId="05139EF5" w14:textId="77777777" w:rsidR="006A2F9C" w:rsidRDefault="006A2F9C" w:rsidP="0080306B">
            <w:pPr>
              <w:pStyle w:val="NoSpacing"/>
            </w:pPr>
          </w:p>
          <w:p w14:paraId="5CC5C8FC" w14:textId="77777777" w:rsidR="006A2F9C" w:rsidRPr="00355405" w:rsidRDefault="006A2F9C" w:rsidP="0080306B">
            <w:pPr>
              <w:pStyle w:val="NoSpacing"/>
            </w:pPr>
            <w:r>
              <w:t xml:space="preserve">Books from </w:t>
            </w:r>
            <w:r w:rsidR="005B534B">
              <w:t>book buzz</w:t>
            </w:r>
            <w:r>
              <w:t xml:space="preserve"> are free of charge.</w:t>
            </w:r>
          </w:p>
        </w:tc>
      </w:tr>
      <w:tr w:rsidR="00B06C99" w:rsidRPr="00355405" w14:paraId="007C11BB" w14:textId="77777777" w:rsidTr="001B1968">
        <w:trPr>
          <w:jc w:val="center"/>
        </w:trPr>
        <w:tc>
          <w:tcPr>
            <w:tcW w:w="15953" w:type="dxa"/>
            <w:gridSpan w:val="7"/>
            <w:shd w:val="clear" w:color="auto" w:fill="95B3D7" w:themeFill="accent1" w:themeFillTint="99"/>
          </w:tcPr>
          <w:p w14:paraId="1753AF62" w14:textId="77777777" w:rsidR="00B06C99" w:rsidRPr="00355405" w:rsidRDefault="00B06C99" w:rsidP="0080306B">
            <w:pPr>
              <w:pStyle w:val="NoSpacing"/>
            </w:pPr>
            <w:r w:rsidRPr="00355405">
              <w:rPr>
                <w:b/>
              </w:rPr>
              <w:lastRenderedPageBreak/>
              <w:t>Expected Outcome 3:</w:t>
            </w:r>
            <w:r w:rsidRPr="00355405">
              <w:t xml:space="preserve"> Attendance improves across all groups and no group is disadvantaged by low attendance.</w:t>
            </w:r>
          </w:p>
        </w:tc>
      </w:tr>
      <w:tr w:rsidR="00B06C99" w:rsidRPr="00355405" w14:paraId="0E14ECD1" w14:textId="77777777" w:rsidTr="00080521">
        <w:trPr>
          <w:jc w:val="center"/>
        </w:trPr>
        <w:tc>
          <w:tcPr>
            <w:tcW w:w="955" w:type="dxa"/>
            <w:shd w:val="clear" w:color="auto" w:fill="4F81BD" w:themeFill="accent1"/>
          </w:tcPr>
          <w:p w14:paraId="32C0DF38" w14:textId="77777777" w:rsidR="00B06C99" w:rsidRPr="00355405" w:rsidRDefault="00B06C99" w:rsidP="0080306B">
            <w:pPr>
              <w:pStyle w:val="NoSpacing"/>
            </w:pPr>
          </w:p>
        </w:tc>
        <w:tc>
          <w:tcPr>
            <w:tcW w:w="3009" w:type="dxa"/>
            <w:shd w:val="clear" w:color="auto" w:fill="4F81BD" w:themeFill="accent1"/>
          </w:tcPr>
          <w:p w14:paraId="2C40283C" w14:textId="77777777" w:rsidR="00B06C99" w:rsidRPr="00355405" w:rsidRDefault="00B06C99" w:rsidP="0080306B">
            <w:pPr>
              <w:pStyle w:val="NoSpacing"/>
            </w:pPr>
            <w:r w:rsidRPr="00355405">
              <w:t>What will success look like?</w:t>
            </w:r>
          </w:p>
        </w:tc>
        <w:tc>
          <w:tcPr>
            <w:tcW w:w="1559" w:type="dxa"/>
            <w:shd w:val="clear" w:color="auto" w:fill="4F81BD" w:themeFill="accent1"/>
          </w:tcPr>
          <w:p w14:paraId="34545050" w14:textId="77777777" w:rsidR="00B06C99" w:rsidRPr="00355405" w:rsidRDefault="00B06C99" w:rsidP="0080306B">
            <w:pPr>
              <w:pStyle w:val="NoSpacing"/>
            </w:pPr>
            <w:r w:rsidRPr="00355405">
              <w:t>Lead</w:t>
            </w:r>
          </w:p>
        </w:tc>
        <w:tc>
          <w:tcPr>
            <w:tcW w:w="5812" w:type="dxa"/>
            <w:gridSpan w:val="2"/>
            <w:shd w:val="clear" w:color="auto" w:fill="4F81BD" w:themeFill="accent1"/>
          </w:tcPr>
          <w:p w14:paraId="2199EC56" w14:textId="77777777" w:rsidR="00B06C99" w:rsidRPr="00355405" w:rsidRDefault="00B06C99" w:rsidP="0080306B">
            <w:pPr>
              <w:pStyle w:val="NoSpacing"/>
            </w:pPr>
            <w:r w:rsidRPr="00355405">
              <w:t>How will we get there (Actions)</w:t>
            </w:r>
          </w:p>
        </w:tc>
        <w:tc>
          <w:tcPr>
            <w:tcW w:w="2693" w:type="dxa"/>
            <w:shd w:val="clear" w:color="auto" w:fill="4F81BD" w:themeFill="accent1"/>
          </w:tcPr>
          <w:p w14:paraId="290C6437" w14:textId="77777777" w:rsidR="00B06C99" w:rsidRPr="00355405" w:rsidRDefault="00B06C99" w:rsidP="0080306B">
            <w:pPr>
              <w:pStyle w:val="NoSpacing"/>
            </w:pPr>
            <w:r w:rsidRPr="00355405"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14:paraId="5B6D6051" w14:textId="77777777" w:rsidR="00B06C99" w:rsidRPr="00355405" w:rsidRDefault="00B06C99" w:rsidP="0080306B">
            <w:pPr>
              <w:pStyle w:val="NoSpacing"/>
            </w:pPr>
            <w:r w:rsidRPr="00355405">
              <w:t>Cost, training &amp; resources</w:t>
            </w:r>
          </w:p>
        </w:tc>
      </w:tr>
      <w:tr w:rsidR="007335F8" w:rsidRPr="00355405" w14:paraId="4CAD599B" w14:textId="77777777" w:rsidTr="00080521">
        <w:trPr>
          <w:jc w:val="center"/>
        </w:trPr>
        <w:tc>
          <w:tcPr>
            <w:tcW w:w="955" w:type="dxa"/>
          </w:tcPr>
          <w:p w14:paraId="53CDC094" w14:textId="77777777" w:rsidR="007335F8" w:rsidRDefault="007335F8" w:rsidP="007335F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09" w:type="dxa"/>
          </w:tcPr>
          <w:p w14:paraId="1761BF84" w14:textId="77777777" w:rsidR="007335F8" w:rsidRDefault="007335F8" w:rsidP="00043FDB">
            <w:pPr>
              <w:pStyle w:val="NoSpacing"/>
            </w:pPr>
            <w:r>
              <w:t xml:space="preserve">Fund provision of free breakfast for all students </w:t>
            </w:r>
          </w:p>
        </w:tc>
        <w:tc>
          <w:tcPr>
            <w:tcW w:w="1559" w:type="dxa"/>
          </w:tcPr>
          <w:p w14:paraId="1BFCE4F3" w14:textId="77777777" w:rsidR="007335F8" w:rsidRDefault="007335F8" w:rsidP="00043FDB">
            <w:pPr>
              <w:pStyle w:val="NoSpacing"/>
              <w:jc w:val="center"/>
            </w:pPr>
            <w:r>
              <w:t>ABU</w:t>
            </w:r>
          </w:p>
        </w:tc>
        <w:tc>
          <w:tcPr>
            <w:tcW w:w="5812" w:type="dxa"/>
            <w:gridSpan w:val="2"/>
          </w:tcPr>
          <w:p w14:paraId="4FE80861" w14:textId="77777777" w:rsidR="007335F8" w:rsidRDefault="007335F8" w:rsidP="00043FDB">
            <w:pPr>
              <w:pStyle w:val="NoSpacing"/>
            </w:pPr>
            <w:r>
              <w:t xml:space="preserve">To ensure that students eligible for FSM </w:t>
            </w:r>
            <w:proofErr w:type="gramStart"/>
            <w:r>
              <w:t>are able to</w:t>
            </w:r>
            <w:proofErr w:type="gramEnd"/>
            <w:r>
              <w:t xml:space="preserve"> purchase breakfast at the start of the school day.</w:t>
            </w:r>
          </w:p>
        </w:tc>
        <w:tc>
          <w:tcPr>
            <w:tcW w:w="2693" w:type="dxa"/>
          </w:tcPr>
          <w:p w14:paraId="139663BB" w14:textId="77777777" w:rsidR="007335F8" w:rsidRDefault="007335F8" w:rsidP="00584003">
            <w:pPr>
              <w:pStyle w:val="NoSpacing"/>
            </w:pPr>
            <w:r>
              <w:t xml:space="preserve">Improve </w:t>
            </w:r>
            <w:proofErr w:type="spellStart"/>
            <w:r>
              <w:t>punctuiality</w:t>
            </w:r>
            <w:proofErr w:type="spellEnd"/>
            <w:r>
              <w:t xml:space="preserve"> amongst PP students </w:t>
            </w:r>
          </w:p>
        </w:tc>
        <w:tc>
          <w:tcPr>
            <w:tcW w:w="1925" w:type="dxa"/>
          </w:tcPr>
          <w:p w14:paraId="0B7CC565" w14:textId="77777777" w:rsidR="007335F8" w:rsidRDefault="007335F8" w:rsidP="00043FDB">
            <w:pPr>
              <w:pStyle w:val="NoSpacing"/>
            </w:pPr>
            <w:r>
              <w:t>£5000</w:t>
            </w:r>
          </w:p>
        </w:tc>
      </w:tr>
      <w:tr w:rsidR="003D7592" w:rsidRPr="00355405" w14:paraId="2FEA7E5D" w14:textId="77777777" w:rsidTr="00080521">
        <w:trPr>
          <w:jc w:val="center"/>
        </w:trPr>
        <w:tc>
          <w:tcPr>
            <w:tcW w:w="955" w:type="dxa"/>
          </w:tcPr>
          <w:p w14:paraId="315365B4" w14:textId="77777777" w:rsidR="003D7592" w:rsidRPr="00355405" w:rsidRDefault="003D7592" w:rsidP="007335F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09" w:type="dxa"/>
          </w:tcPr>
          <w:p w14:paraId="67716E6C" w14:textId="77777777" w:rsidR="003D7592" w:rsidRPr="00355405" w:rsidRDefault="003D7592" w:rsidP="00043FDB">
            <w:pPr>
              <w:pStyle w:val="NoSpacing"/>
            </w:pPr>
            <w:r>
              <w:t xml:space="preserve">Fund attendance related rewards </w:t>
            </w:r>
          </w:p>
        </w:tc>
        <w:tc>
          <w:tcPr>
            <w:tcW w:w="1559" w:type="dxa"/>
          </w:tcPr>
          <w:p w14:paraId="05A622BE" w14:textId="77777777" w:rsidR="003D7592" w:rsidRPr="00355405" w:rsidRDefault="003D7592" w:rsidP="00043FDB">
            <w:pPr>
              <w:pStyle w:val="NoSpacing"/>
              <w:jc w:val="center"/>
            </w:pPr>
            <w:r>
              <w:t>SLE</w:t>
            </w:r>
          </w:p>
        </w:tc>
        <w:tc>
          <w:tcPr>
            <w:tcW w:w="5812" w:type="dxa"/>
            <w:gridSpan w:val="2"/>
          </w:tcPr>
          <w:p w14:paraId="518F9004" w14:textId="77777777" w:rsidR="003D7592" w:rsidRDefault="005B534B" w:rsidP="00043FDB">
            <w:pPr>
              <w:pStyle w:val="NoSpacing"/>
            </w:pPr>
            <w:r>
              <w:t>End of year attendance rew</w:t>
            </w:r>
            <w:r w:rsidR="00584003">
              <w:t xml:space="preserve">ards trip to be subsidised by pupil premium grant </w:t>
            </w:r>
          </w:p>
          <w:p w14:paraId="0B94BDC0" w14:textId="77777777" w:rsidR="005B534B" w:rsidRDefault="005B534B" w:rsidP="00043FDB">
            <w:pPr>
              <w:pStyle w:val="NoSpacing"/>
            </w:pPr>
          </w:p>
          <w:p w14:paraId="64402F7C" w14:textId="77777777" w:rsidR="005B534B" w:rsidRPr="00355405" w:rsidRDefault="005B534B" w:rsidP="00043FDB">
            <w:pPr>
              <w:pStyle w:val="NoSpacing"/>
            </w:pPr>
            <w:r>
              <w:t>Rewards associated with improved attendance to be subsidised by pupil premium grant e.g.</w:t>
            </w:r>
            <w:proofErr w:type="gramStart"/>
            <w:r>
              <w:t>….mountain</w:t>
            </w:r>
            <w:proofErr w:type="gramEnd"/>
            <w:r>
              <w:t xml:space="preserve"> bike</w:t>
            </w:r>
          </w:p>
        </w:tc>
        <w:tc>
          <w:tcPr>
            <w:tcW w:w="2693" w:type="dxa"/>
          </w:tcPr>
          <w:p w14:paraId="0D6AA5DB" w14:textId="77777777" w:rsidR="00584003" w:rsidRPr="00355405" w:rsidRDefault="00584003" w:rsidP="00584003">
            <w:pPr>
              <w:pStyle w:val="NoSpacing"/>
            </w:pPr>
            <w:r>
              <w:t>PP</w:t>
            </w:r>
            <w:r w:rsidRPr="00355405">
              <w:t xml:space="preserve"> attendance will improve from </w:t>
            </w:r>
            <w:r>
              <w:t>91.61</w:t>
            </w:r>
            <w:r w:rsidRPr="00355405">
              <w:t>% (201</w:t>
            </w:r>
            <w:r>
              <w:t>7/18) to above 93% by July 2019</w:t>
            </w:r>
            <w:r w:rsidRPr="00355405">
              <w:t>.</w:t>
            </w:r>
          </w:p>
          <w:p w14:paraId="4F69750F" w14:textId="77777777" w:rsidR="003D7592" w:rsidRDefault="003D7592" w:rsidP="00043FDB">
            <w:pPr>
              <w:pStyle w:val="NoSpacing"/>
            </w:pPr>
          </w:p>
        </w:tc>
        <w:tc>
          <w:tcPr>
            <w:tcW w:w="1925" w:type="dxa"/>
          </w:tcPr>
          <w:p w14:paraId="1BBCAAA0" w14:textId="77777777" w:rsidR="003D7592" w:rsidRPr="003A3B62" w:rsidRDefault="00584003" w:rsidP="00043FDB">
            <w:pPr>
              <w:pStyle w:val="NoSpacing"/>
            </w:pPr>
            <w:r>
              <w:t>£5000</w:t>
            </w:r>
          </w:p>
        </w:tc>
      </w:tr>
      <w:tr w:rsidR="00043FDB" w:rsidRPr="00355405" w14:paraId="4899B67B" w14:textId="77777777" w:rsidTr="00080521">
        <w:trPr>
          <w:jc w:val="center"/>
        </w:trPr>
        <w:tc>
          <w:tcPr>
            <w:tcW w:w="955" w:type="dxa"/>
          </w:tcPr>
          <w:p w14:paraId="51FE7F24" w14:textId="77777777" w:rsidR="00043FDB" w:rsidRPr="00355405" w:rsidRDefault="00043FDB" w:rsidP="00043FDB">
            <w:pPr>
              <w:pStyle w:val="NoSpacing"/>
            </w:pPr>
          </w:p>
          <w:p w14:paraId="2B605B40" w14:textId="77777777" w:rsidR="00043FDB" w:rsidRPr="00355405" w:rsidRDefault="00043FDB" w:rsidP="00043FD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09" w:type="dxa"/>
          </w:tcPr>
          <w:p w14:paraId="2A99718E" w14:textId="77777777" w:rsidR="00043FDB" w:rsidRPr="00355405" w:rsidRDefault="00043FDB" w:rsidP="00043FDB">
            <w:pPr>
              <w:pStyle w:val="NoSpacing"/>
            </w:pPr>
            <w:r w:rsidRPr="00355405">
              <w:t>The attendance of disadvantaged students improves to match that of non-disadvantaged students.</w:t>
            </w:r>
          </w:p>
        </w:tc>
        <w:tc>
          <w:tcPr>
            <w:tcW w:w="1559" w:type="dxa"/>
          </w:tcPr>
          <w:p w14:paraId="5BA61D1D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SLE</w:t>
            </w:r>
          </w:p>
          <w:p w14:paraId="0EB7DB26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Attendance Team</w:t>
            </w:r>
          </w:p>
          <w:p w14:paraId="3E5EECB7" w14:textId="77777777" w:rsidR="00043FDB" w:rsidRPr="00355405" w:rsidRDefault="00043FDB" w:rsidP="00043FDB">
            <w:pPr>
              <w:pStyle w:val="NoSpacing"/>
              <w:jc w:val="center"/>
            </w:pPr>
          </w:p>
          <w:p w14:paraId="5AABECE4" w14:textId="77777777" w:rsidR="00043FDB" w:rsidRDefault="00043FDB" w:rsidP="00043FDB">
            <w:pPr>
              <w:pStyle w:val="NoSpacing"/>
            </w:pPr>
          </w:p>
          <w:p w14:paraId="10ABBA74" w14:textId="77777777" w:rsidR="00043FDB" w:rsidRDefault="00043FDB" w:rsidP="00043FDB">
            <w:pPr>
              <w:pStyle w:val="NoSpacing"/>
            </w:pPr>
          </w:p>
          <w:p w14:paraId="271C9C87" w14:textId="77777777" w:rsidR="00043FDB" w:rsidRDefault="00043FDB" w:rsidP="00043FDB">
            <w:pPr>
              <w:pStyle w:val="NoSpacing"/>
            </w:pPr>
          </w:p>
          <w:p w14:paraId="0FADBD37" w14:textId="77777777" w:rsidR="00043FDB" w:rsidRDefault="00043FDB" w:rsidP="00043FDB">
            <w:pPr>
              <w:pStyle w:val="NoSpacing"/>
            </w:pPr>
          </w:p>
          <w:p w14:paraId="1740961D" w14:textId="77777777" w:rsidR="00043FDB" w:rsidRPr="00355405" w:rsidRDefault="00043FDB" w:rsidP="00043FDB">
            <w:pPr>
              <w:pStyle w:val="NoSpacing"/>
            </w:pPr>
            <w:r w:rsidRPr="00355405">
              <w:t>PLs and APLs</w:t>
            </w:r>
          </w:p>
          <w:p w14:paraId="23CB93AE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Form Tutors</w:t>
            </w:r>
          </w:p>
          <w:p w14:paraId="53ED3614" w14:textId="77777777" w:rsidR="00043FDB" w:rsidRDefault="00043FDB" w:rsidP="00043FDB">
            <w:pPr>
              <w:pStyle w:val="NoSpacing"/>
              <w:jc w:val="center"/>
            </w:pPr>
            <w:r w:rsidRPr="00355405">
              <w:t>Family Liaison staff</w:t>
            </w:r>
          </w:p>
          <w:p w14:paraId="4E407C20" w14:textId="77777777" w:rsidR="00043FDB" w:rsidRDefault="00043FDB" w:rsidP="00043FDB">
            <w:pPr>
              <w:pStyle w:val="NoSpacing"/>
              <w:jc w:val="center"/>
            </w:pPr>
          </w:p>
          <w:p w14:paraId="1AE6AFD1" w14:textId="77777777" w:rsidR="00043FDB" w:rsidRPr="00355405" w:rsidRDefault="00043FDB" w:rsidP="00043FDB">
            <w:pPr>
              <w:pStyle w:val="NoSpacing"/>
              <w:jc w:val="center"/>
            </w:pPr>
            <w:r>
              <w:t>PWA</w:t>
            </w:r>
          </w:p>
          <w:p w14:paraId="1EF3B6C0" w14:textId="77777777" w:rsidR="00043FDB" w:rsidRPr="00355405" w:rsidRDefault="00043FDB" w:rsidP="00043FDB">
            <w:pPr>
              <w:pStyle w:val="NoSpacing"/>
              <w:jc w:val="center"/>
            </w:pPr>
          </w:p>
          <w:p w14:paraId="06B6A4B7" w14:textId="77777777" w:rsidR="00043FDB" w:rsidRDefault="00043FDB" w:rsidP="00043FDB">
            <w:pPr>
              <w:pStyle w:val="NoSpacing"/>
              <w:jc w:val="center"/>
            </w:pPr>
          </w:p>
          <w:p w14:paraId="27D9C677" w14:textId="77777777" w:rsidR="00043FDB" w:rsidRDefault="00043FDB" w:rsidP="00043FDB">
            <w:pPr>
              <w:pStyle w:val="NoSpacing"/>
              <w:jc w:val="center"/>
            </w:pPr>
          </w:p>
          <w:p w14:paraId="689F8FBB" w14:textId="77777777" w:rsidR="00043FDB" w:rsidRPr="00355405" w:rsidRDefault="00043FDB" w:rsidP="00043FDB">
            <w:pPr>
              <w:pStyle w:val="NoSpacing"/>
              <w:jc w:val="center"/>
            </w:pPr>
            <w:r>
              <w:t>PWA</w:t>
            </w:r>
          </w:p>
          <w:p w14:paraId="4C59E43B" w14:textId="77777777" w:rsidR="00043FDB" w:rsidRPr="00355405" w:rsidRDefault="00043FDB" w:rsidP="00043FDB">
            <w:pPr>
              <w:pStyle w:val="NoSpacing"/>
              <w:jc w:val="center"/>
            </w:pPr>
          </w:p>
          <w:p w14:paraId="2F958978" w14:textId="77777777" w:rsidR="00043FDB" w:rsidRPr="00355405" w:rsidRDefault="00043FDB" w:rsidP="00043FDB">
            <w:pPr>
              <w:pStyle w:val="NoSpacing"/>
              <w:jc w:val="center"/>
            </w:pPr>
          </w:p>
          <w:p w14:paraId="16C798DD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Progress Leaders</w:t>
            </w:r>
          </w:p>
          <w:p w14:paraId="024008B7" w14:textId="77777777" w:rsidR="00043FDB" w:rsidRDefault="00043FDB" w:rsidP="00043FDB">
            <w:pPr>
              <w:pStyle w:val="NoSpacing"/>
              <w:jc w:val="center"/>
            </w:pPr>
          </w:p>
          <w:p w14:paraId="6D9B1152" w14:textId="77777777" w:rsidR="00043FDB" w:rsidRDefault="00043FDB" w:rsidP="00043FDB">
            <w:pPr>
              <w:pStyle w:val="NoSpacing"/>
            </w:pPr>
          </w:p>
          <w:p w14:paraId="70F46382" w14:textId="77777777" w:rsidR="00043FDB" w:rsidRDefault="00043FDB" w:rsidP="00043FDB">
            <w:pPr>
              <w:pStyle w:val="NoSpacing"/>
            </w:pPr>
          </w:p>
          <w:p w14:paraId="6A9A7892" w14:textId="77777777" w:rsidR="00043FDB" w:rsidRDefault="00043FDB" w:rsidP="00043FDB">
            <w:pPr>
              <w:pStyle w:val="NoSpacing"/>
            </w:pPr>
          </w:p>
          <w:p w14:paraId="43106D1A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CSC / SLE</w:t>
            </w:r>
          </w:p>
        </w:tc>
        <w:tc>
          <w:tcPr>
            <w:tcW w:w="5812" w:type="dxa"/>
            <w:gridSpan w:val="2"/>
          </w:tcPr>
          <w:p w14:paraId="68366625" w14:textId="77777777" w:rsidR="00043FDB" w:rsidRPr="00355405" w:rsidRDefault="00043FDB" w:rsidP="00043FDB">
            <w:pPr>
              <w:pStyle w:val="NoSpacing"/>
              <w:rPr>
                <w:rFonts w:cs="Times"/>
                <w:lang w:val="en-US"/>
              </w:rPr>
            </w:pPr>
            <w:r w:rsidRPr="00355405">
              <w:t>Engagement with families to improve attendance, with home visits, calls and texts.  (</w:t>
            </w:r>
            <w:r w:rsidRPr="00355405">
              <w:rPr>
                <w:rFonts w:cs="Calibri"/>
                <w:lang w:val="en-US"/>
              </w:rPr>
              <w:t xml:space="preserve">We can’t improve attainment for children if they aren’t </w:t>
            </w:r>
            <w:proofErr w:type="gramStart"/>
            <w:r w:rsidRPr="00355405">
              <w:rPr>
                <w:rFonts w:cs="Calibri"/>
                <w:lang w:val="en-US"/>
              </w:rPr>
              <w:t>actually attending</w:t>
            </w:r>
            <w:proofErr w:type="gramEnd"/>
            <w:r w:rsidRPr="00355405">
              <w:rPr>
                <w:rFonts w:cs="Calibri"/>
                <w:lang w:val="en-US"/>
              </w:rPr>
              <w:t xml:space="preserve"> school. </w:t>
            </w:r>
          </w:p>
          <w:p w14:paraId="09F98245" w14:textId="77777777" w:rsidR="00043FDB" w:rsidRPr="00355405" w:rsidRDefault="00043FDB" w:rsidP="00043FDB">
            <w:pPr>
              <w:pStyle w:val="NoSpacing"/>
              <w:rPr>
                <w:rFonts w:eastAsia="MS Gothic" w:cs="MS Gothic"/>
                <w:lang w:val="en-US"/>
              </w:rPr>
            </w:pPr>
            <w:r w:rsidRPr="00355405">
              <w:rPr>
                <w:lang w:val="en-US"/>
              </w:rPr>
              <w:t xml:space="preserve">Same day calls about attendance for target pupils and consistent </w:t>
            </w:r>
            <w:proofErr w:type="spellStart"/>
            <w:r w:rsidRPr="00355405">
              <w:rPr>
                <w:lang w:val="en-US"/>
              </w:rPr>
              <w:t>a</w:t>
            </w:r>
            <w:r w:rsidR="006F7BCE">
              <w:rPr>
                <w:lang w:val="en-US"/>
              </w:rPr>
              <w:t>PP</w:t>
            </w:r>
            <w:r w:rsidRPr="00355405">
              <w:rPr>
                <w:lang w:val="en-US"/>
              </w:rPr>
              <w:t>roach</w:t>
            </w:r>
            <w:proofErr w:type="spellEnd"/>
            <w:r w:rsidRPr="00355405">
              <w:rPr>
                <w:lang w:val="en-US"/>
              </w:rPr>
              <w:t xml:space="preserve"> </w:t>
            </w:r>
            <w:r w:rsidR="005B534B" w:rsidRPr="00355405">
              <w:rPr>
                <w:lang w:val="en-US"/>
              </w:rPr>
              <w:t>a</w:t>
            </w:r>
            <w:r w:rsidR="005B534B">
              <w:rPr>
                <w:lang w:val="en-US"/>
              </w:rPr>
              <w:t>pp</w:t>
            </w:r>
            <w:r w:rsidR="005B534B" w:rsidRPr="00355405">
              <w:rPr>
                <w:lang w:val="en-US"/>
              </w:rPr>
              <w:t>lied</w:t>
            </w:r>
            <w:r w:rsidRPr="00355405">
              <w:rPr>
                <w:lang w:val="en-US"/>
              </w:rPr>
              <w:t xml:space="preserve"> amongst all year groups. Letters about attendance to families/</w:t>
            </w:r>
            <w:r w:rsidR="005B534B" w:rsidRPr="00355405">
              <w:rPr>
                <w:lang w:val="en-US"/>
              </w:rPr>
              <w:t>careers</w:t>
            </w:r>
            <w:r w:rsidRPr="00355405">
              <w:rPr>
                <w:lang w:val="en-US"/>
              </w:rPr>
              <w:t>. Attendance officer to visit all PA at home to discuss attendance with families/</w:t>
            </w:r>
            <w:r w:rsidR="005B534B" w:rsidRPr="00355405">
              <w:rPr>
                <w:lang w:val="en-US"/>
              </w:rPr>
              <w:t>careers</w:t>
            </w:r>
            <w:r w:rsidRPr="00355405">
              <w:rPr>
                <w:lang w:val="en-US"/>
              </w:rPr>
              <w:t xml:space="preserve"> </w:t>
            </w:r>
            <w:r w:rsidRPr="00355405">
              <w:rPr>
                <w:rFonts w:ascii="MS Gothic" w:eastAsia="MS Gothic" w:hAnsi="MS Gothic" w:cs="MS Gothic" w:hint="eastAsia"/>
                <w:lang w:val="en-US"/>
              </w:rPr>
              <w:t> </w:t>
            </w:r>
          </w:p>
          <w:p w14:paraId="440748F7" w14:textId="77777777" w:rsidR="00043FDB" w:rsidRPr="00355405" w:rsidRDefault="00043FDB" w:rsidP="00043FDB">
            <w:pPr>
              <w:pStyle w:val="NoSpacing"/>
              <w:rPr>
                <w:rFonts w:cs="Calibri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Attendance monitor attached to each year to monitor pupils and follow up quickly on truancies and attendance. First hour of the day response and follow up. </w:t>
            </w:r>
          </w:p>
          <w:p w14:paraId="6686F289" w14:textId="77777777" w:rsidR="00043FDB" w:rsidRPr="00355405" w:rsidRDefault="00043FDB" w:rsidP="00043FDB">
            <w:pPr>
              <w:pStyle w:val="NoSpacing"/>
              <w:rPr>
                <w:lang w:val="en-US"/>
              </w:rPr>
            </w:pPr>
            <w:r w:rsidRPr="00355405">
              <w:rPr>
                <w:rFonts w:ascii="MS Gothic" w:eastAsia="MS Gothic" w:hAnsi="MS Gothic" w:cs="MS Gothic" w:hint="eastAsia"/>
                <w:lang w:val="en-US"/>
              </w:rPr>
              <w:t> </w:t>
            </w:r>
          </w:p>
          <w:p w14:paraId="6213648F" w14:textId="77777777" w:rsidR="00043FDB" w:rsidRPr="00355405" w:rsidRDefault="00043FDB" w:rsidP="00043FDB">
            <w:pPr>
              <w:pStyle w:val="NoSpacing"/>
              <w:rPr>
                <w:rFonts w:cs="Times"/>
                <w:lang w:val="en-US"/>
              </w:rPr>
            </w:pPr>
          </w:p>
          <w:p w14:paraId="1D05A648" w14:textId="77777777" w:rsidR="00043FDB" w:rsidRPr="00355405" w:rsidRDefault="00043FDB" w:rsidP="00043FDB">
            <w:pPr>
              <w:pStyle w:val="NoSpacing"/>
            </w:pPr>
            <w:r w:rsidRPr="00355405">
              <w:t xml:space="preserve">Project 11 Action Plan focus on students with attendance at risk of </w:t>
            </w:r>
            <w:r w:rsidR="005B534B" w:rsidRPr="00355405">
              <w:t>dro</w:t>
            </w:r>
            <w:r w:rsidR="005B534B">
              <w:t>pp</w:t>
            </w:r>
            <w:r w:rsidR="005B534B" w:rsidRPr="00355405">
              <w:t>ing</w:t>
            </w:r>
            <w:r w:rsidRPr="00355405">
              <w:t xml:space="preserve"> below 90% and students with attendance between 95-90%.</w:t>
            </w:r>
          </w:p>
          <w:p w14:paraId="7CC8D3F2" w14:textId="77777777" w:rsidR="00043FDB" w:rsidRPr="00355405" w:rsidRDefault="00043FDB" w:rsidP="00043FDB">
            <w:pPr>
              <w:pStyle w:val="NoSpacing"/>
            </w:pPr>
          </w:p>
          <w:p w14:paraId="3F77E92B" w14:textId="77777777" w:rsidR="00043FDB" w:rsidRPr="00355405" w:rsidRDefault="00043FDB" w:rsidP="00043FDB">
            <w:pPr>
              <w:pStyle w:val="NoSpacing"/>
            </w:pPr>
            <w:r w:rsidRPr="00355405">
              <w:t xml:space="preserve">Transport </w:t>
            </w:r>
            <w:proofErr w:type="gramStart"/>
            <w:r w:rsidRPr="00355405">
              <w:t>pick</w:t>
            </w:r>
            <w:proofErr w:type="gramEnd"/>
            <w:r w:rsidRPr="00355405">
              <w:t xml:space="preserve"> up service to school for the most vulnerable.  Especially </w:t>
            </w:r>
            <w:r w:rsidR="005B534B" w:rsidRPr="00355405">
              <w:t>during</w:t>
            </w:r>
            <w:r w:rsidRPr="00355405">
              <w:t xml:space="preserve"> exam weeks.</w:t>
            </w:r>
          </w:p>
          <w:p w14:paraId="7638F301" w14:textId="77777777" w:rsidR="00043FDB" w:rsidRPr="00355405" w:rsidRDefault="00043FDB" w:rsidP="00043FDB">
            <w:pPr>
              <w:pStyle w:val="NoSpacing"/>
            </w:pPr>
          </w:p>
          <w:p w14:paraId="01CF6C25" w14:textId="77777777" w:rsidR="00043FDB" w:rsidRPr="00355405" w:rsidRDefault="00043FDB" w:rsidP="00043FDB">
            <w:pPr>
              <w:pStyle w:val="NoSpacing"/>
            </w:pPr>
            <w:r w:rsidRPr="00355405">
              <w:t xml:space="preserve">Poor attending </w:t>
            </w:r>
            <w:r w:rsidR="006F7BCE">
              <w:t>PP</w:t>
            </w:r>
            <w:r w:rsidRPr="00355405">
              <w:t xml:space="preserve"> students to be placed on </w:t>
            </w:r>
            <w:r w:rsidR="005B534B" w:rsidRPr="00355405">
              <w:t>monitoring</w:t>
            </w:r>
            <w:r w:rsidRPr="00355405">
              <w:t xml:space="preserve"> report to Progress Leaders.</w:t>
            </w:r>
          </w:p>
          <w:p w14:paraId="0D7487CF" w14:textId="77777777" w:rsidR="00043FDB" w:rsidRPr="00355405" w:rsidRDefault="00043FDB" w:rsidP="00043FDB">
            <w:pPr>
              <w:pStyle w:val="NoSpacing"/>
            </w:pPr>
          </w:p>
          <w:p w14:paraId="4A8AC4CD" w14:textId="77777777" w:rsidR="00043FDB" w:rsidRPr="00355405" w:rsidRDefault="00043FDB" w:rsidP="00043FDB">
            <w:pPr>
              <w:pStyle w:val="NoSpacing"/>
              <w:rPr>
                <w:rFonts w:cs="Calibri"/>
                <w:lang w:val="en-US"/>
              </w:rPr>
            </w:pPr>
          </w:p>
          <w:p w14:paraId="48ACCA95" w14:textId="77777777" w:rsidR="00043FDB" w:rsidRPr="00355405" w:rsidRDefault="00043FDB" w:rsidP="00043FDB">
            <w:pPr>
              <w:pStyle w:val="NoSpacing"/>
            </w:pPr>
            <w:r w:rsidRPr="00355405">
              <w:t xml:space="preserve">Half termly attendance reward trips to be organised targeting improved attendance for disadvantaged students.  Where possible these trips should be free of charge.  </w:t>
            </w:r>
          </w:p>
        </w:tc>
        <w:tc>
          <w:tcPr>
            <w:tcW w:w="2693" w:type="dxa"/>
          </w:tcPr>
          <w:p w14:paraId="27E4955D" w14:textId="77777777" w:rsidR="00043FDB" w:rsidRDefault="00043FDB" w:rsidP="00043FDB">
            <w:pPr>
              <w:pStyle w:val="NoSpacing"/>
            </w:pPr>
            <w:r>
              <w:t>Based on HT5 2017/18 data:</w:t>
            </w:r>
          </w:p>
          <w:p w14:paraId="0742E575" w14:textId="77777777" w:rsidR="00043FDB" w:rsidRDefault="00043FDB" w:rsidP="00043FDB">
            <w:pPr>
              <w:pStyle w:val="NoSpacing"/>
            </w:pPr>
          </w:p>
          <w:p w14:paraId="2C6976B9" w14:textId="77777777" w:rsidR="00043FDB" w:rsidRPr="00355405" w:rsidRDefault="006F7BCE" w:rsidP="00043FDB">
            <w:pPr>
              <w:pStyle w:val="NoSpacing"/>
            </w:pPr>
            <w:r>
              <w:t>PP</w:t>
            </w:r>
            <w:r w:rsidR="00043FDB" w:rsidRPr="00355405">
              <w:t xml:space="preserve"> attendance will improve from </w:t>
            </w:r>
            <w:r w:rsidR="00043FDB">
              <w:t>91.61</w:t>
            </w:r>
            <w:r w:rsidR="00043FDB" w:rsidRPr="00355405">
              <w:t>% (201</w:t>
            </w:r>
            <w:r w:rsidR="00043FDB">
              <w:t>7/18) to above 93% by July 2019</w:t>
            </w:r>
            <w:r w:rsidR="00043FDB" w:rsidRPr="00355405">
              <w:t>.</w:t>
            </w:r>
          </w:p>
          <w:p w14:paraId="64FC5A0B" w14:textId="77777777" w:rsidR="00043FDB" w:rsidRPr="00355405" w:rsidRDefault="00043FDB" w:rsidP="00043FDB">
            <w:pPr>
              <w:pStyle w:val="NoSpacing"/>
            </w:pPr>
          </w:p>
          <w:p w14:paraId="401732BC" w14:textId="77777777" w:rsidR="00043FDB" w:rsidRPr="00355405" w:rsidRDefault="00043FDB" w:rsidP="00043FDB">
            <w:pPr>
              <w:pStyle w:val="NoSpacing"/>
            </w:pPr>
            <w:r w:rsidRPr="00355405">
              <w:t xml:space="preserve">Percentage of </w:t>
            </w:r>
            <w:r w:rsidR="006F7BCE">
              <w:t>PP</w:t>
            </w:r>
            <w:r w:rsidRPr="00355405">
              <w:t xml:space="preserve"> students who are cla</w:t>
            </w:r>
            <w:r>
              <w:t>ssed as PA will reduce from 26.22% (2017/18) to below 20% by July 2019</w:t>
            </w:r>
            <w:r w:rsidRPr="00355405">
              <w:t>.</w:t>
            </w:r>
          </w:p>
          <w:p w14:paraId="55022EDC" w14:textId="77777777" w:rsidR="00043FDB" w:rsidRPr="00355405" w:rsidRDefault="00043FDB" w:rsidP="00043FDB">
            <w:pPr>
              <w:pStyle w:val="NoSpacing"/>
            </w:pPr>
          </w:p>
          <w:p w14:paraId="4FCCA296" w14:textId="77777777" w:rsidR="00043FDB" w:rsidRPr="00355405" w:rsidRDefault="00043FDB" w:rsidP="00043FDB">
            <w:pPr>
              <w:pStyle w:val="NoSpacing"/>
            </w:pPr>
            <w:r w:rsidRPr="00355405">
              <w:t>.</w:t>
            </w:r>
          </w:p>
        </w:tc>
        <w:tc>
          <w:tcPr>
            <w:tcW w:w="1925" w:type="dxa"/>
          </w:tcPr>
          <w:p w14:paraId="78862736" w14:textId="77777777" w:rsidR="00043FDB" w:rsidRDefault="00043FDB" w:rsidP="00043FDB">
            <w:pPr>
              <w:pStyle w:val="NoSpacing"/>
            </w:pPr>
            <w:r w:rsidRPr="003A3B62">
              <w:t xml:space="preserve">Cost of subsidising </w:t>
            </w:r>
            <w:r w:rsidR="006F7BCE">
              <w:t>PP</w:t>
            </w:r>
            <w:r w:rsidRPr="003A3B62">
              <w:t xml:space="preserve"> and other disadvantaged on trips £12k across year. Some costs may be met by additional fundraising activities.</w:t>
            </w:r>
          </w:p>
          <w:p w14:paraId="4D9B30D6" w14:textId="77777777" w:rsidR="00043FDB" w:rsidRDefault="00043FDB" w:rsidP="00043FDB">
            <w:pPr>
              <w:pStyle w:val="NoSpacing"/>
            </w:pPr>
          </w:p>
          <w:p w14:paraId="55AD6313" w14:textId="77777777" w:rsidR="00043FDB" w:rsidRDefault="00043FDB" w:rsidP="00043FDB">
            <w:pPr>
              <w:pStyle w:val="NoSpacing"/>
            </w:pPr>
            <w:r w:rsidRPr="003A3B62">
              <w:t>Meeting time</w:t>
            </w:r>
            <w:r>
              <w:t>.</w:t>
            </w:r>
          </w:p>
          <w:p w14:paraId="77BEA7DD" w14:textId="77777777" w:rsidR="00043FDB" w:rsidRDefault="00043FDB" w:rsidP="00043FDB">
            <w:pPr>
              <w:pStyle w:val="NoSpacing"/>
            </w:pPr>
          </w:p>
          <w:p w14:paraId="683AD2ED" w14:textId="77777777" w:rsidR="00043FDB" w:rsidRDefault="00043FDB" w:rsidP="00043FDB">
            <w:pPr>
              <w:pStyle w:val="NoSpacing"/>
            </w:pPr>
            <w:r>
              <w:t xml:space="preserve">Costs to </w:t>
            </w:r>
            <w:r w:rsidR="005B534B">
              <w:t>support</w:t>
            </w:r>
            <w:r>
              <w:t xml:space="preserve"> end of term attendance breakfasts.</w:t>
            </w:r>
          </w:p>
          <w:p w14:paraId="33BAC1DD" w14:textId="77777777" w:rsidR="00043FDB" w:rsidRDefault="00043FDB" w:rsidP="00043FDB">
            <w:pPr>
              <w:pStyle w:val="NoSpacing"/>
            </w:pPr>
          </w:p>
          <w:p w14:paraId="1EAC071D" w14:textId="77777777" w:rsidR="00043FDB" w:rsidRPr="00355405" w:rsidRDefault="00043FDB" w:rsidP="00043FDB">
            <w:pPr>
              <w:pStyle w:val="NoSpacing"/>
            </w:pPr>
            <w:r>
              <w:t xml:space="preserve">Costs to </w:t>
            </w:r>
            <w:r w:rsidR="005B534B">
              <w:t>support</w:t>
            </w:r>
            <w:r>
              <w:t xml:space="preserve"> </w:t>
            </w:r>
            <w:r w:rsidR="005B534B">
              <w:t>transport</w:t>
            </w:r>
            <w:r>
              <w:t xml:space="preserve"> </w:t>
            </w:r>
            <w:r w:rsidR="005B534B">
              <w:t>pickups</w:t>
            </w:r>
            <w:r>
              <w:t>.</w:t>
            </w:r>
          </w:p>
        </w:tc>
      </w:tr>
      <w:tr w:rsidR="00043FDB" w:rsidRPr="00355405" w14:paraId="3C82F2BC" w14:textId="77777777" w:rsidTr="00080521">
        <w:tblPrEx>
          <w:jc w:val="left"/>
        </w:tblPrEx>
        <w:tc>
          <w:tcPr>
            <w:tcW w:w="955" w:type="dxa"/>
          </w:tcPr>
          <w:p w14:paraId="4BFA6972" w14:textId="77777777" w:rsidR="00043FDB" w:rsidRPr="00355405" w:rsidRDefault="00043FDB" w:rsidP="00043FDB">
            <w:pPr>
              <w:pStyle w:val="NoSpacing"/>
            </w:pPr>
          </w:p>
          <w:p w14:paraId="60AC0F4E" w14:textId="77777777" w:rsidR="00043FDB" w:rsidRPr="00355405" w:rsidRDefault="00043FDB" w:rsidP="00043FDB">
            <w:pPr>
              <w:pStyle w:val="NoSpacing"/>
              <w:jc w:val="center"/>
            </w:pPr>
            <w:r>
              <w:t>3/4</w:t>
            </w:r>
          </w:p>
        </w:tc>
        <w:tc>
          <w:tcPr>
            <w:tcW w:w="3009" w:type="dxa"/>
          </w:tcPr>
          <w:p w14:paraId="43D41BD2" w14:textId="77777777" w:rsidR="00043FDB" w:rsidRPr="00355405" w:rsidRDefault="00043FDB" w:rsidP="00043FDB">
            <w:pPr>
              <w:pStyle w:val="NoSpacing"/>
            </w:pPr>
            <w:r w:rsidRPr="00355405">
              <w:t>Punctuality of students to school will continue to improve each term from to match that of non-disadvantaged students.</w:t>
            </w:r>
          </w:p>
        </w:tc>
        <w:tc>
          <w:tcPr>
            <w:tcW w:w="1559" w:type="dxa"/>
          </w:tcPr>
          <w:p w14:paraId="3B3C2420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SLE</w:t>
            </w:r>
          </w:p>
          <w:p w14:paraId="0D42BB7E" w14:textId="77777777" w:rsidR="00043FDB" w:rsidRDefault="00043FDB" w:rsidP="00043FDB">
            <w:pPr>
              <w:pStyle w:val="NoSpacing"/>
              <w:jc w:val="center"/>
            </w:pPr>
          </w:p>
          <w:p w14:paraId="541F7869" w14:textId="77777777" w:rsidR="00043FDB" w:rsidRPr="00355405" w:rsidRDefault="00043FDB" w:rsidP="00043FDB">
            <w:pPr>
              <w:pStyle w:val="NoSpacing"/>
            </w:pPr>
          </w:p>
          <w:p w14:paraId="565B315B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CSC</w:t>
            </w:r>
          </w:p>
          <w:p w14:paraId="03814867" w14:textId="77777777" w:rsidR="00043FDB" w:rsidRPr="00355405" w:rsidRDefault="00043FDB" w:rsidP="00043FDB">
            <w:pPr>
              <w:pStyle w:val="NoSpacing"/>
              <w:jc w:val="center"/>
            </w:pPr>
          </w:p>
          <w:p w14:paraId="11C350D1" w14:textId="77777777" w:rsidR="00043FDB" w:rsidRDefault="00043FDB" w:rsidP="00043FDB">
            <w:pPr>
              <w:pStyle w:val="NoSpacing"/>
              <w:jc w:val="center"/>
            </w:pPr>
          </w:p>
          <w:p w14:paraId="0D001AA6" w14:textId="77777777" w:rsidR="00043FDB" w:rsidRPr="00355405" w:rsidRDefault="00043FDB" w:rsidP="00043FDB">
            <w:pPr>
              <w:pStyle w:val="NoSpacing"/>
              <w:jc w:val="center"/>
            </w:pPr>
          </w:p>
          <w:p w14:paraId="580B1909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APL</w:t>
            </w:r>
          </w:p>
          <w:p w14:paraId="3CCC5A18" w14:textId="77777777" w:rsidR="00043FDB" w:rsidRPr="00355405" w:rsidRDefault="00043FDB" w:rsidP="00043FDB">
            <w:pPr>
              <w:pStyle w:val="NoSpacing"/>
              <w:jc w:val="center"/>
            </w:pPr>
          </w:p>
          <w:p w14:paraId="06A90CCF" w14:textId="77777777" w:rsidR="00043FDB" w:rsidRPr="00355405" w:rsidRDefault="00043FDB" w:rsidP="00043FDB">
            <w:pPr>
              <w:pStyle w:val="NoSpacing"/>
              <w:jc w:val="center"/>
            </w:pPr>
          </w:p>
          <w:p w14:paraId="1E5D1C9F" w14:textId="77777777" w:rsidR="00043FDB" w:rsidRPr="00355405" w:rsidRDefault="00043FDB" w:rsidP="00043FDB">
            <w:pPr>
              <w:pStyle w:val="NoSpacing"/>
              <w:jc w:val="center"/>
            </w:pPr>
          </w:p>
          <w:p w14:paraId="751FB4CF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APL</w:t>
            </w:r>
          </w:p>
        </w:tc>
        <w:tc>
          <w:tcPr>
            <w:tcW w:w="5812" w:type="dxa"/>
            <w:gridSpan w:val="2"/>
          </w:tcPr>
          <w:p w14:paraId="5C685A1D" w14:textId="77777777" w:rsidR="00043FDB" w:rsidRPr="00355405" w:rsidRDefault="006F7BCE" w:rsidP="00043FDB">
            <w:pPr>
              <w:pStyle w:val="NoSpacing"/>
            </w:pPr>
            <w:r>
              <w:t>PP</w:t>
            </w:r>
            <w:r w:rsidR="00043FDB" w:rsidRPr="00355405">
              <w:t xml:space="preserve"> students with poor </w:t>
            </w:r>
            <w:r w:rsidR="005B534B" w:rsidRPr="00355405">
              <w:t>punctuality</w:t>
            </w:r>
            <w:r w:rsidR="00043FDB">
              <w:t xml:space="preserve"> to be put on punctuality tracking report. </w:t>
            </w:r>
          </w:p>
          <w:p w14:paraId="2A56008D" w14:textId="77777777" w:rsidR="00043FDB" w:rsidRPr="00355405" w:rsidRDefault="00043FDB" w:rsidP="00043FDB">
            <w:pPr>
              <w:pStyle w:val="NoSpacing"/>
            </w:pPr>
          </w:p>
          <w:p w14:paraId="405FD7EC" w14:textId="77777777" w:rsidR="00043FDB" w:rsidRPr="00355405" w:rsidRDefault="00043FDB" w:rsidP="00043FDB">
            <w:pPr>
              <w:pStyle w:val="NoSpacing"/>
            </w:pPr>
            <w:r w:rsidRPr="00355405">
              <w:t>Attendance team responsible for staffing the ‘late gate’ in the mornings.</w:t>
            </w:r>
          </w:p>
          <w:p w14:paraId="37EB4324" w14:textId="77777777" w:rsidR="00043FDB" w:rsidRPr="00355405" w:rsidRDefault="00043FDB" w:rsidP="00043FDB">
            <w:pPr>
              <w:pStyle w:val="NoSpacing"/>
            </w:pPr>
          </w:p>
          <w:p w14:paraId="577B7DB7" w14:textId="77777777" w:rsidR="00043FDB" w:rsidRPr="00355405" w:rsidRDefault="00043FDB" w:rsidP="00043FDB">
            <w:pPr>
              <w:pStyle w:val="NoSpacing"/>
            </w:pPr>
            <w:r w:rsidRPr="00355405">
              <w:t>Attendance team responsible for staffing the same day break time detentions for students who are late during AM registration.</w:t>
            </w:r>
          </w:p>
          <w:p w14:paraId="3792B3D1" w14:textId="77777777" w:rsidR="00043FDB" w:rsidRPr="00355405" w:rsidRDefault="00043FDB" w:rsidP="00043FDB">
            <w:pPr>
              <w:pStyle w:val="NoSpacing"/>
            </w:pPr>
          </w:p>
          <w:p w14:paraId="120926B4" w14:textId="77777777" w:rsidR="00043FDB" w:rsidRPr="00355405" w:rsidRDefault="005B534B" w:rsidP="00043FDB">
            <w:pPr>
              <w:pStyle w:val="NoSpacing"/>
            </w:pPr>
            <w:r w:rsidRPr="00355405">
              <w:t>APL is</w:t>
            </w:r>
            <w:r w:rsidR="00043FDB" w:rsidRPr="00355405">
              <w:t xml:space="preserve"> to ensure students are given </w:t>
            </w:r>
            <w:r w:rsidRPr="00355405">
              <w:t>one-hour</w:t>
            </w:r>
            <w:r w:rsidR="00043FDB" w:rsidRPr="00355405">
              <w:t xml:space="preserve"> detention for those who arrive to the academy late twice in one week. </w:t>
            </w:r>
          </w:p>
          <w:p w14:paraId="041E8FB3" w14:textId="77777777" w:rsidR="00043FDB" w:rsidRPr="00355405" w:rsidRDefault="00043FDB" w:rsidP="00043FDB">
            <w:pPr>
              <w:pStyle w:val="NoSpacing"/>
            </w:pPr>
          </w:p>
          <w:p w14:paraId="237B845F" w14:textId="77777777" w:rsidR="00043FDB" w:rsidRPr="00355405" w:rsidRDefault="00043FDB" w:rsidP="00043FDB">
            <w:pPr>
              <w:pStyle w:val="NoSpacing"/>
            </w:pPr>
            <w:r w:rsidRPr="00355405">
              <w:rPr>
                <w:color w:val="000000" w:themeColor="text1"/>
              </w:rPr>
              <w:t>Acknowledgement by Form Tutors and use of green cards for students who are on-time every day in a week.</w:t>
            </w:r>
          </w:p>
        </w:tc>
        <w:tc>
          <w:tcPr>
            <w:tcW w:w="2693" w:type="dxa"/>
          </w:tcPr>
          <w:p w14:paraId="5491E8C8" w14:textId="77777777" w:rsidR="00043FDB" w:rsidRPr="00355405" w:rsidRDefault="00043FDB" w:rsidP="00043FDB">
            <w:pPr>
              <w:pStyle w:val="NoSpacing"/>
            </w:pPr>
            <w:r w:rsidRPr="00355405">
              <w:t xml:space="preserve">Percentage of </w:t>
            </w:r>
            <w:r w:rsidR="006F7BCE">
              <w:t>PP</w:t>
            </w:r>
            <w:r w:rsidRPr="00355405">
              <w:t xml:space="preserve"> </w:t>
            </w:r>
            <w:r w:rsidR="005B534B" w:rsidRPr="00355405">
              <w:t>cohort’s</w:t>
            </w:r>
            <w:r w:rsidRPr="00355405">
              <w:t xml:space="preserve"> </w:t>
            </w:r>
            <w:r>
              <w:t>late codes will reduce from 3.49</w:t>
            </w:r>
            <w:r w:rsidRPr="00355405">
              <w:t>% (2016/17) to below 3</w:t>
            </w:r>
            <w:r>
              <w:t>% by July 2019</w:t>
            </w:r>
            <w:r w:rsidRPr="00355405">
              <w:t>.</w:t>
            </w:r>
          </w:p>
          <w:p w14:paraId="7C9C2A4D" w14:textId="77777777" w:rsidR="00043FDB" w:rsidRPr="00355405" w:rsidRDefault="00043FDB" w:rsidP="00043FDB">
            <w:pPr>
              <w:pStyle w:val="NoSpacing"/>
            </w:pPr>
          </w:p>
          <w:p w14:paraId="0E0FD086" w14:textId="77777777" w:rsidR="00043FDB" w:rsidRPr="00355405" w:rsidRDefault="00043FDB" w:rsidP="00043FDB">
            <w:pPr>
              <w:pStyle w:val="NoSpacing"/>
              <w:rPr>
                <w:u w:val="single"/>
              </w:rPr>
            </w:pPr>
          </w:p>
        </w:tc>
        <w:tc>
          <w:tcPr>
            <w:tcW w:w="1925" w:type="dxa"/>
          </w:tcPr>
          <w:p w14:paraId="0FBF6499" w14:textId="77777777" w:rsidR="00043FDB" w:rsidRPr="00355405" w:rsidRDefault="00043FDB" w:rsidP="00043FDB">
            <w:pPr>
              <w:pStyle w:val="NoSpacing"/>
            </w:pPr>
            <w:r w:rsidRPr="00355405">
              <w:t>No additional cost</w:t>
            </w:r>
          </w:p>
        </w:tc>
      </w:tr>
      <w:tr w:rsidR="00043FDB" w:rsidRPr="00355405" w14:paraId="2CAB6682" w14:textId="77777777" w:rsidTr="00080521">
        <w:tblPrEx>
          <w:jc w:val="left"/>
        </w:tblPrEx>
        <w:trPr>
          <w:trHeight w:val="77"/>
        </w:trPr>
        <w:tc>
          <w:tcPr>
            <w:tcW w:w="955" w:type="dxa"/>
          </w:tcPr>
          <w:p w14:paraId="06A6F622" w14:textId="77777777" w:rsidR="00043FDB" w:rsidRPr="00355405" w:rsidRDefault="00043FDB" w:rsidP="00043FDB">
            <w:pPr>
              <w:pStyle w:val="NoSpacing"/>
            </w:pPr>
          </w:p>
          <w:p w14:paraId="4E3D360A" w14:textId="77777777" w:rsidR="00043FDB" w:rsidRPr="00355405" w:rsidRDefault="00043FDB" w:rsidP="00043FDB">
            <w:pPr>
              <w:pStyle w:val="NoSpacing"/>
              <w:jc w:val="center"/>
            </w:pPr>
            <w:r>
              <w:t>3/4</w:t>
            </w:r>
          </w:p>
        </w:tc>
        <w:tc>
          <w:tcPr>
            <w:tcW w:w="3009" w:type="dxa"/>
          </w:tcPr>
          <w:p w14:paraId="1D4F069C" w14:textId="77777777" w:rsidR="00043FDB" w:rsidRPr="00355405" w:rsidRDefault="00043FDB" w:rsidP="00043FDB">
            <w:pPr>
              <w:pStyle w:val="NoSpacing"/>
            </w:pPr>
            <w:r w:rsidRPr="00355405">
              <w:t>The number of disadvantaged students who receive the sanction of time in the IEU as an alternative to a fixed-term exclusion is significantly reduced.</w:t>
            </w:r>
          </w:p>
          <w:p w14:paraId="7BBD5480" w14:textId="77777777" w:rsidR="00043FDB" w:rsidRPr="00355405" w:rsidRDefault="00043FDB" w:rsidP="00043FDB">
            <w:pPr>
              <w:pStyle w:val="NoSpacing"/>
            </w:pPr>
          </w:p>
        </w:tc>
        <w:tc>
          <w:tcPr>
            <w:tcW w:w="1559" w:type="dxa"/>
          </w:tcPr>
          <w:p w14:paraId="295FBDCB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AHA / SLE</w:t>
            </w:r>
          </w:p>
          <w:p w14:paraId="5900E1FF" w14:textId="77777777" w:rsidR="00043FDB" w:rsidRPr="00355405" w:rsidRDefault="00043FDB" w:rsidP="00043FDB">
            <w:pPr>
              <w:pStyle w:val="NoSpacing"/>
              <w:jc w:val="center"/>
            </w:pPr>
          </w:p>
        </w:tc>
        <w:tc>
          <w:tcPr>
            <w:tcW w:w="5812" w:type="dxa"/>
            <w:gridSpan w:val="2"/>
          </w:tcPr>
          <w:p w14:paraId="11EAD7E5" w14:textId="77777777" w:rsidR="00043FDB" w:rsidRPr="00355405" w:rsidRDefault="00043FDB" w:rsidP="00043FDB">
            <w:pPr>
              <w:pStyle w:val="NoSpacing"/>
            </w:pPr>
            <w:r w:rsidRPr="00355405">
              <w:t xml:space="preserve">TAP meetings for KS3 and KS4 to determine interventions for those students at risk of FTE &amp; PX </w:t>
            </w:r>
          </w:p>
        </w:tc>
        <w:tc>
          <w:tcPr>
            <w:tcW w:w="2693" w:type="dxa"/>
          </w:tcPr>
          <w:p w14:paraId="79692103" w14:textId="77777777" w:rsidR="00043FDB" w:rsidRPr="00355405" w:rsidRDefault="00043FDB" w:rsidP="00043FDB">
            <w:pPr>
              <w:pStyle w:val="NoSpacing"/>
            </w:pPr>
            <w:r w:rsidRPr="00355405">
              <w:t xml:space="preserve">Less </w:t>
            </w:r>
            <w:r w:rsidR="006F7BCE">
              <w:t>PP</w:t>
            </w:r>
            <w:r w:rsidRPr="00355405">
              <w:t xml:space="preserve"> students being placed in </w:t>
            </w:r>
            <w:r w:rsidR="005B534B" w:rsidRPr="00355405">
              <w:t>IEU,</w:t>
            </w:r>
            <w:r w:rsidRPr="00355405">
              <w:t xml:space="preserve"> including repeated offenders.</w:t>
            </w:r>
          </w:p>
          <w:p w14:paraId="51247277" w14:textId="77777777" w:rsidR="00043FDB" w:rsidRPr="00355405" w:rsidRDefault="00043FDB" w:rsidP="00043FDB">
            <w:pPr>
              <w:pStyle w:val="NoSpacing"/>
            </w:pPr>
          </w:p>
          <w:p w14:paraId="7E481B2A" w14:textId="77777777" w:rsidR="00043FDB" w:rsidRPr="00355405" w:rsidRDefault="00043FDB" w:rsidP="00043FDB">
            <w:pPr>
              <w:pStyle w:val="NoSpacing"/>
            </w:pPr>
            <w:r w:rsidRPr="00355405">
              <w:t xml:space="preserve">Percentage of </w:t>
            </w:r>
            <w:r w:rsidR="006F7BCE">
              <w:t>PP</w:t>
            </w:r>
            <w:r w:rsidRPr="00355405">
              <w:t xml:space="preserve"> students receiving IEU placements will reduce fr</w:t>
            </w:r>
            <w:r>
              <w:t>om 64% to below 50% by July 2019</w:t>
            </w:r>
            <w:r w:rsidRPr="00355405">
              <w:t>.</w:t>
            </w:r>
          </w:p>
        </w:tc>
        <w:tc>
          <w:tcPr>
            <w:tcW w:w="1925" w:type="dxa"/>
          </w:tcPr>
          <w:p w14:paraId="2F471597" w14:textId="77777777" w:rsidR="00043FDB" w:rsidRDefault="00043FDB" w:rsidP="00043FDB">
            <w:pPr>
              <w:pStyle w:val="NoSpacing"/>
            </w:pPr>
            <w:r>
              <w:t>Cost to su</w:t>
            </w:r>
            <w:r w:rsidR="006F7BCE">
              <w:t>pp</w:t>
            </w:r>
            <w:r>
              <w:t xml:space="preserve">ort IEU </w:t>
            </w:r>
          </w:p>
          <w:p w14:paraId="55141B18" w14:textId="77777777" w:rsidR="00043FDB" w:rsidRDefault="00043FDB" w:rsidP="00043FDB">
            <w:pPr>
              <w:pStyle w:val="NoSpacing"/>
            </w:pPr>
          </w:p>
          <w:p w14:paraId="7F604E5E" w14:textId="77777777" w:rsidR="00043FDB" w:rsidRPr="00355405" w:rsidRDefault="00043FDB" w:rsidP="00043FDB">
            <w:pPr>
              <w:pStyle w:val="NoSpacing"/>
            </w:pPr>
            <w:r>
              <w:t>A</w:t>
            </w:r>
            <w:r w:rsidR="006F7BCE">
              <w:t>pp</w:t>
            </w:r>
            <w:r>
              <w:t>ropriate resources for the IEU</w:t>
            </w:r>
          </w:p>
        </w:tc>
      </w:tr>
      <w:tr w:rsidR="00043FDB" w:rsidRPr="00355405" w14:paraId="7616CC93" w14:textId="77777777" w:rsidTr="00080521">
        <w:tblPrEx>
          <w:jc w:val="left"/>
        </w:tblPrEx>
        <w:trPr>
          <w:trHeight w:val="2027"/>
        </w:trPr>
        <w:tc>
          <w:tcPr>
            <w:tcW w:w="955" w:type="dxa"/>
          </w:tcPr>
          <w:p w14:paraId="46885488" w14:textId="77777777" w:rsidR="00043FDB" w:rsidRPr="00355405" w:rsidRDefault="00043FDB" w:rsidP="00043FDB">
            <w:pPr>
              <w:pStyle w:val="NoSpacing"/>
            </w:pPr>
          </w:p>
          <w:p w14:paraId="771FADEF" w14:textId="77777777" w:rsidR="00043FDB" w:rsidRPr="00355405" w:rsidRDefault="00043FDB" w:rsidP="00043FD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09" w:type="dxa"/>
          </w:tcPr>
          <w:p w14:paraId="1560A370" w14:textId="77777777" w:rsidR="00043FDB" w:rsidRPr="00355405" w:rsidRDefault="00043FDB" w:rsidP="00043FDB">
            <w:pPr>
              <w:pStyle w:val="NoSpacing"/>
            </w:pPr>
            <w:r w:rsidRPr="00355405">
              <w:t>To ensure that disadvantaged studen</w:t>
            </w:r>
            <w:r w:rsidR="000221B8">
              <w:t>t</w:t>
            </w:r>
            <w:r w:rsidRPr="00355405">
              <w:t xml:space="preserve">s do not over represent the number of students who receive FTE.   </w:t>
            </w:r>
          </w:p>
        </w:tc>
        <w:tc>
          <w:tcPr>
            <w:tcW w:w="1559" w:type="dxa"/>
          </w:tcPr>
          <w:p w14:paraId="376AABAC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AHA / SLE</w:t>
            </w:r>
          </w:p>
        </w:tc>
        <w:tc>
          <w:tcPr>
            <w:tcW w:w="5812" w:type="dxa"/>
            <w:gridSpan w:val="2"/>
          </w:tcPr>
          <w:p w14:paraId="1248B0DE" w14:textId="77777777" w:rsidR="00043FDB" w:rsidRPr="00355405" w:rsidRDefault="00043FDB" w:rsidP="00043FDB">
            <w:pPr>
              <w:pStyle w:val="NoSpacing"/>
            </w:pPr>
            <w:r w:rsidRPr="00355405">
              <w:t>TAP meetings for KS3 and KS4 to determine interventions for those students at risk of FTE &amp; PX</w:t>
            </w:r>
          </w:p>
          <w:p w14:paraId="09B5DDCA" w14:textId="77777777" w:rsidR="00043FDB" w:rsidRDefault="00043FDB" w:rsidP="00043FDB">
            <w:pPr>
              <w:pStyle w:val="NoSpacing"/>
            </w:pPr>
            <w:r w:rsidRPr="00355405">
              <w:t xml:space="preserve"> </w:t>
            </w:r>
          </w:p>
          <w:p w14:paraId="210A3725" w14:textId="77777777" w:rsidR="00043FDB" w:rsidRDefault="00043FDB" w:rsidP="00043FDB">
            <w:pPr>
              <w:pStyle w:val="NoSpacing"/>
            </w:pPr>
          </w:p>
          <w:p w14:paraId="1FF25917" w14:textId="77777777" w:rsidR="00043FDB" w:rsidRDefault="00043FDB" w:rsidP="00043FDB">
            <w:pPr>
              <w:pStyle w:val="NoSpacing"/>
            </w:pPr>
          </w:p>
          <w:p w14:paraId="2F50883F" w14:textId="77777777" w:rsidR="00043FDB" w:rsidRDefault="00043FDB" w:rsidP="00043FDB">
            <w:pPr>
              <w:pStyle w:val="NoSpacing"/>
            </w:pPr>
          </w:p>
          <w:p w14:paraId="3F8797E7" w14:textId="77777777" w:rsidR="00043FDB" w:rsidRDefault="00043FDB" w:rsidP="00043FDB">
            <w:pPr>
              <w:pStyle w:val="NoSpacing"/>
            </w:pPr>
          </w:p>
          <w:p w14:paraId="4FDB498A" w14:textId="77777777" w:rsidR="00043FDB" w:rsidRDefault="00043FDB" w:rsidP="00043FDB">
            <w:pPr>
              <w:pStyle w:val="NoSpacing"/>
            </w:pPr>
          </w:p>
          <w:p w14:paraId="2AA11E0F" w14:textId="77777777" w:rsidR="00043FDB" w:rsidRDefault="00043FDB" w:rsidP="00043FDB">
            <w:pPr>
              <w:pStyle w:val="NoSpacing"/>
            </w:pPr>
          </w:p>
          <w:p w14:paraId="020AE0A6" w14:textId="77777777" w:rsidR="00043FDB" w:rsidRDefault="00043FDB" w:rsidP="00043FDB">
            <w:pPr>
              <w:pStyle w:val="NoSpacing"/>
            </w:pPr>
          </w:p>
          <w:p w14:paraId="7658E072" w14:textId="77777777" w:rsidR="00043FDB" w:rsidRDefault="00043FDB" w:rsidP="00043FDB">
            <w:pPr>
              <w:pStyle w:val="NoSpacing"/>
            </w:pPr>
          </w:p>
          <w:p w14:paraId="4AA772B2" w14:textId="77777777" w:rsidR="00043FDB" w:rsidRPr="00355405" w:rsidRDefault="00043FDB" w:rsidP="00043FDB">
            <w:pPr>
              <w:pStyle w:val="NoSpacing"/>
            </w:pPr>
          </w:p>
        </w:tc>
        <w:tc>
          <w:tcPr>
            <w:tcW w:w="2693" w:type="dxa"/>
          </w:tcPr>
          <w:p w14:paraId="14E7FC32" w14:textId="77777777" w:rsidR="00043FDB" w:rsidRPr="00355405" w:rsidRDefault="00043FDB" w:rsidP="00043FDB">
            <w:pPr>
              <w:pStyle w:val="NoSpacing"/>
            </w:pPr>
            <w:r w:rsidRPr="00355405">
              <w:t>Fixed term exclusions are at least in-line with the national average.</w:t>
            </w:r>
          </w:p>
          <w:p w14:paraId="22C2C25D" w14:textId="77777777" w:rsidR="00043FDB" w:rsidRPr="00355405" w:rsidRDefault="00043FDB" w:rsidP="00043FDB">
            <w:pPr>
              <w:pStyle w:val="NoSpacing"/>
            </w:pPr>
          </w:p>
          <w:p w14:paraId="24A7261B" w14:textId="77777777" w:rsidR="00043FDB" w:rsidRPr="00355405" w:rsidRDefault="00043FDB" w:rsidP="00043FDB">
            <w:pPr>
              <w:pStyle w:val="NoSpacing"/>
            </w:pPr>
            <w:r w:rsidRPr="00355405">
              <w:t xml:space="preserve">Percentage of </w:t>
            </w:r>
            <w:r w:rsidR="006F7BCE">
              <w:t>PP</w:t>
            </w:r>
            <w:r w:rsidRPr="00355405">
              <w:t xml:space="preserve"> students re</w:t>
            </w:r>
            <w:r>
              <w:t>ceiving FTE will reduce from 141 incidents to below 50</w:t>
            </w:r>
            <w:r w:rsidRPr="00355405">
              <w:t xml:space="preserve"> by July 201</w:t>
            </w:r>
            <w:r>
              <w:t>9</w:t>
            </w:r>
          </w:p>
        </w:tc>
        <w:tc>
          <w:tcPr>
            <w:tcW w:w="1925" w:type="dxa"/>
          </w:tcPr>
          <w:p w14:paraId="3B6D95C0" w14:textId="77777777" w:rsidR="00043FDB" w:rsidRPr="00355405" w:rsidRDefault="00043FDB" w:rsidP="00043FDB">
            <w:pPr>
              <w:pStyle w:val="NoSpacing"/>
            </w:pPr>
          </w:p>
        </w:tc>
      </w:tr>
      <w:tr w:rsidR="006F7BCE" w:rsidRPr="00355405" w14:paraId="52916B5A" w14:textId="77777777" w:rsidTr="005B534B">
        <w:tblPrEx>
          <w:jc w:val="left"/>
        </w:tblPrEx>
        <w:trPr>
          <w:trHeight w:val="1685"/>
        </w:trPr>
        <w:tc>
          <w:tcPr>
            <w:tcW w:w="955" w:type="dxa"/>
          </w:tcPr>
          <w:p w14:paraId="63B31DD5" w14:textId="77777777" w:rsidR="006F7BCE" w:rsidRPr="00355405" w:rsidRDefault="006F7BCE" w:rsidP="00043FDB">
            <w:pPr>
              <w:pStyle w:val="NoSpacing"/>
            </w:pPr>
            <w:r>
              <w:lastRenderedPageBreak/>
              <w:t>3</w:t>
            </w:r>
          </w:p>
        </w:tc>
        <w:tc>
          <w:tcPr>
            <w:tcW w:w="3009" w:type="dxa"/>
          </w:tcPr>
          <w:p w14:paraId="698C6D16" w14:textId="77777777" w:rsidR="006F7BCE" w:rsidRPr="00355405" w:rsidRDefault="006F7BCE" w:rsidP="006F7BCE">
            <w:pPr>
              <w:pStyle w:val="NoSpacing"/>
            </w:pPr>
            <w:r>
              <w:t xml:space="preserve">Contribution to the cost of uniform for students in Years 7 -11 </w:t>
            </w:r>
          </w:p>
        </w:tc>
        <w:tc>
          <w:tcPr>
            <w:tcW w:w="1559" w:type="dxa"/>
          </w:tcPr>
          <w:p w14:paraId="4B41D6BC" w14:textId="77777777" w:rsidR="006F7BCE" w:rsidRDefault="006F7BCE" w:rsidP="00043FDB">
            <w:pPr>
              <w:pStyle w:val="NoSpacing"/>
              <w:jc w:val="center"/>
            </w:pPr>
            <w:r>
              <w:t>DRA</w:t>
            </w:r>
          </w:p>
          <w:p w14:paraId="37D7B9CC" w14:textId="77777777" w:rsidR="006F7BCE" w:rsidRPr="00355405" w:rsidRDefault="006F7BCE" w:rsidP="00043FDB">
            <w:pPr>
              <w:pStyle w:val="NoSpacing"/>
              <w:jc w:val="center"/>
            </w:pPr>
            <w:r>
              <w:t>ABU</w:t>
            </w:r>
          </w:p>
        </w:tc>
        <w:tc>
          <w:tcPr>
            <w:tcW w:w="5812" w:type="dxa"/>
            <w:gridSpan w:val="2"/>
          </w:tcPr>
          <w:p w14:paraId="69FF963B" w14:textId="77777777" w:rsidR="006F7BCE" w:rsidRPr="00355405" w:rsidRDefault="006F7BCE" w:rsidP="00043FDB">
            <w:pPr>
              <w:pStyle w:val="NoSpacing"/>
            </w:pPr>
            <w:r>
              <w:t xml:space="preserve">All PP students have the correct uniform and </w:t>
            </w:r>
            <w:proofErr w:type="gramStart"/>
            <w:r>
              <w:t>are able to</w:t>
            </w:r>
            <w:proofErr w:type="gramEnd"/>
            <w:r>
              <w:t xml:space="preserve"> participate in PE and Dance lessons.</w:t>
            </w:r>
          </w:p>
        </w:tc>
        <w:tc>
          <w:tcPr>
            <w:tcW w:w="2693" w:type="dxa"/>
          </w:tcPr>
          <w:p w14:paraId="0D334E72" w14:textId="77777777" w:rsidR="006F7BCE" w:rsidRPr="00355405" w:rsidRDefault="005B534B" w:rsidP="005B534B">
            <w:pPr>
              <w:pStyle w:val="NoSpacing"/>
            </w:pPr>
            <w:r w:rsidRPr="00355405">
              <w:t xml:space="preserve">Percentage of </w:t>
            </w:r>
            <w:r>
              <w:t>PP</w:t>
            </w:r>
            <w:r w:rsidRPr="00355405">
              <w:t xml:space="preserve"> students re</w:t>
            </w:r>
            <w:r>
              <w:t xml:space="preserve">ceiving uniform related detentions will reduce </w:t>
            </w:r>
            <w:r w:rsidRPr="00355405">
              <w:t>by July 201</w:t>
            </w:r>
            <w:r>
              <w:t>9.</w:t>
            </w:r>
          </w:p>
        </w:tc>
        <w:tc>
          <w:tcPr>
            <w:tcW w:w="1925" w:type="dxa"/>
          </w:tcPr>
          <w:p w14:paraId="04552C4E" w14:textId="77777777" w:rsidR="006F7BCE" w:rsidRPr="00355405" w:rsidRDefault="006F7BCE" w:rsidP="00043FDB">
            <w:pPr>
              <w:pStyle w:val="NoSpacing"/>
            </w:pPr>
            <w:r>
              <w:t>£2500</w:t>
            </w:r>
          </w:p>
        </w:tc>
      </w:tr>
      <w:tr w:rsidR="00043FDB" w:rsidRPr="00355405" w14:paraId="60410A59" w14:textId="77777777" w:rsidTr="00B30A6E">
        <w:trPr>
          <w:jc w:val="center"/>
        </w:trPr>
        <w:tc>
          <w:tcPr>
            <w:tcW w:w="15953" w:type="dxa"/>
            <w:gridSpan w:val="7"/>
            <w:shd w:val="clear" w:color="auto" w:fill="95B3D7" w:themeFill="accent1" w:themeFillTint="99"/>
          </w:tcPr>
          <w:p w14:paraId="2FD02C52" w14:textId="77777777" w:rsidR="00043FDB" w:rsidRPr="00355405" w:rsidRDefault="00043FDB" w:rsidP="00043FDB">
            <w:pPr>
              <w:pStyle w:val="NoSpacing"/>
            </w:pPr>
            <w:r>
              <w:rPr>
                <w:b/>
              </w:rPr>
              <w:t>Expected Outcome 4</w:t>
            </w:r>
            <w:r w:rsidRPr="00355405">
              <w:rPr>
                <w:b/>
              </w:rPr>
              <w:t>:</w:t>
            </w:r>
            <w:r w:rsidRPr="00355405">
              <w:t xml:space="preserve"> </w:t>
            </w:r>
            <w:r>
              <w:t>Raise aspirations for disadvantaged students.</w:t>
            </w:r>
          </w:p>
        </w:tc>
      </w:tr>
      <w:tr w:rsidR="00043FDB" w:rsidRPr="00355405" w14:paraId="2C2C5E32" w14:textId="77777777" w:rsidTr="00B30A6E">
        <w:trPr>
          <w:jc w:val="center"/>
        </w:trPr>
        <w:tc>
          <w:tcPr>
            <w:tcW w:w="955" w:type="dxa"/>
            <w:shd w:val="clear" w:color="auto" w:fill="4F81BD" w:themeFill="accent1"/>
          </w:tcPr>
          <w:p w14:paraId="3A36D9E4" w14:textId="77777777" w:rsidR="00043FDB" w:rsidRPr="00355405" w:rsidRDefault="00043FDB" w:rsidP="00043FDB">
            <w:pPr>
              <w:pStyle w:val="NoSpacing"/>
            </w:pPr>
          </w:p>
        </w:tc>
        <w:tc>
          <w:tcPr>
            <w:tcW w:w="3009" w:type="dxa"/>
            <w:shd w:val="clear" w:color="auto" w:fill="4F81BD" w:themeFill="accent1"/>
          </w:tcPr>
          <w:p w14:paraId="6551C655" w14:textId="77777777" w:rsidR="00043FDB" w:rsidRPr="00355405" w:rsidRDefault="00043FDB" w:rsidP="00043FDB">
            <w:pPr>
              <w:pStyle w:val="NoSpacing"/>
            </w:pPr>
            <w:r w:rsidRPr="00355405">
              <w:t>What will success look like?</w:t>
            </w:r>
          </w:p>
        </w:tc>
        <w:tc>
          <w:tcPr>
            <w:tcW w:w="1559" w:type="dxa"/>
            <w:shd w:val="clear" w:color="auto" w:fill="4F81BD" w:themeFill="accent1"/>
          </w:tcPr>
          <w:p w14:paraId="0D32A82A" w14:textId="77777777" w:rsidR="00043FDB" w:rsidRPr="00355405" w:rsidRDefault="00043FDB" w:rsidP="00043FDB">
            <w:pPr>
              <w:pStyle w:val="NoSpacing"/>
            </w:pPr>
            <w:r w:rsidRPr="00355405">
              <w:t>Lead</w:t>
            </w:r>
          </w:p>
        </w:tc>
        <w:tc>
          <w:tcPr>
            <w:tcW w:w="5812" w:type="dxa"/>
            <w:gridSpan w:val="2"/>
            <w:shd w:val="clear" w:color="auto" w:fill="4F81BD" w:themeFill="accent1"/>
          </w:tcPr>
          <w:p w14:paraId="6B69FB58" w14:textId="77777777" w:rsidR="00043FDB" w:rsidRPr="00355405" w:rsidRDefault="00043FDB" w:rsidP="00043FDB">
            <w:pPr>
              <w:pStyle w:val="NoSpacing"/>
            </w:pPr>
            <w:r w:rsidRPr="00355405">
              <w:t>How will we get there (Actions)</w:t>
            </w:r>
          </w:p>
        </w:tc>
        <w:tc>
          <w:tcPr>
            <w:tcW w:w="2693" w:type="dxa"/>
            <w:shd w:val="clear" w:color="auto" w:fill="4F81BD" w:themeFill="accent1"/>
          </w:tcPr>
          <w:p w14:paraId="5BDC3FA0" w14:textId="77777777" w:rsidR="00043FDB" w:rsidRPr="00355405" w:rsidRDefault="00043FDB" w:rsidP="00043FDB">
            <w:pPr>
              <w:pStyle w:val="NoSpacing"/>
            </w:pPr>
            <w:r w:rsidRPr="00355405"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14:paraId="2B81C341" w14:textId="77777777" w:rsidR="00043FDB" w:rsidRPr="00355405" w:rsidRDefault="00043FDB" w:rsidP="00043FDB">
            <w:pPr>
              <w:pStyle w:val="NoSpacing"/>
            </w:pPr>
            <w:r w:rsidRPr="00355405">
              <w:t>Cost, training &amp; resources</w:t>
            </w:r>
          </w:p>
        </w:tc>
      </w:tr>
      <w:tr w:rsidR="00043FDB" w:rsidRPr="00355405" w14:paraId="1002B94A" w14:textId="77777777" w:rsidTr="00B30A6E">
        <w:trPr>
          <w:jc w:val="center"/>
        </w:trPr>
        <w:tc>
          <w:tcPr>
            <w:tcW w:w="955" w:type="dxa"/>
          </w:tcPr>
          <w:p w14:paraId="3D2665E0" w14:textId="77777777" w:rsidR="00043FDB" w:rsidRPr="00355405" w:rsidRDefault="00043FDB" w:rsidP="00043FDB">
            <w:pPr>
              <w:pStyle w:val="NoSpacing"/>
            </w:pPr>
          </w:p>
          <w:p w14:paraId="051F27AF" w14:textId="77777777" w:rsidR="00043FDB" w:rsidRPr="00355405" w:rsidRDefault="00043FDB" w:rsidP="00043FDB">
            <w:pPr>
              <w:pStyle w:val="NoSpacing"/>
            </w:pPr>
            <w:r>
              <w:t>3</w:t>
            </w:r>
          </w:p>
        </w:tc>
        <w:tc>
          <w:tcPr>
            <w:tcW w:w="3009" w:type="dxa"/>
          </w:tcPr>
          <w:p w14:paraId="174207DE" w14:textId="77777777" w:rsidR="00043FDB" w:rsidRPr="00355405" w:rsidRDefault="00043FDB" w:rsidP="00043FDB">
            <w:pPr>
              <w:pStyle w:val="NoSpacing"/>
              <w:rPr>
                <w:rFonts w:cs="Times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To raise aspirations for Pupils eligible for </w:t>
            </w:r>
            <w:r w:rsidR="006F7BCE">
              <w:rPr>
                <w:rFonts w:cs="Calibri"/>
                <w:lang w:val="en-US"/>
              </w:rPr>
              <w:t>PP</w:t>
            </w:r>
            <w:r w:rsidRPr="00355405">
              <w:rPr>
                <w:rFonts w:cs="Calibri"/>
                <w:lang w:val="en-US"/>
              </w:rPr>
              <w:t xml:space="preserve"> to those of </w:t>
            </w:r>
            <w:proofErr w:type="gramStart"/>
            <w:r w:rsidRPr="00355405">
              <w:rPr>
                <w:rFonts w:cs="Calibri"/>
                <w:lang w:val="en-US"/>
              </w:rPr>
              <w:t xml:space="preserve">non </w:t>
            </w:r>
            <w:r w:rsidR="006F7BCE">
              <w:rPr>
                <w:rFonts w:cs="Calibri"/>
                <w:lang w:val="en-US"/>
              </w:rPr>
              <w:t>PP</w:t>
            </w:r>
            <w:proofErr w:type="gramEnd"/>
            <w:r w:rsidRPr="00355405">
              <w:rPr>
                <w:rFonts w:cs="Calibri"/>
                <w:lang w:val="en-US"/>
              </w:rPr>
              <w:t xml:space="preserve"> pupils </w:t>
            </w:r>
            <w:r>
              <w:rPr>
                <w:rFonts w:cs="Calibri"/>
                <w:lang w:val="en-US"/>
              </w:rPr>
              <w:t>through partnership with GM Higher</w:t>
            </w:r>
          </w:p>
          <w:p w14:paraId="5B349854" w14:textId="77777777" w:rsidR="00043FDB" w:rsidRPr="00355405" w:rsidRDefault="00043FDB" w:rsidP="00043FDB">
            <w:pPr>
              <w:pStyle w:val="NoSpacing"/>
            </w:pPr>
          </w:p>
        </w:tc>
        <w:tc>
          <w:tcPr>
            <w:tcW w:w="1559" w:type="dxa"/>
          </w:tcPr>
          <w:p w14:paraId="0BC4AFB3" w14:textId="77777777" w:rsidR="0063679B" w:rsidRDefault="0063679B" w:rsidP="00043FDB">
            <w:pPr>
              <w:pStyle w:val="NoSpacing"/>
              <w:jc w:val="center"/>
            </w:pPr>
            <w:r>
              <w:t>ABU</w:t>
            </w:r>
          </w:p>
          <w:p w14:paraId="1395300F" w14:textId="77777777" w:rsidR="0063679B" w:rsidRDefault="0063679B" w:rsidP="005B534B">
            <w:pPr>
              <w:pStyle w:val="NoSpacing"/>
            </w:pPr>
          </w:p>
          <w:p w14:paraId="5D61749B" w14:textId="77777777" w:rsidR="0063679B" w:rsidRDefault="0063679B" w:rsidP="005B534B">
            <w:pPr>
              <w:pStyle w:val="NoSpacing"/>
            </w:pPr>
          </w:p>
          <w:p w14:paraId="7EC3513F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PWA</w:t>
            </w:r>
          </w:p>
          <w:p w14:paraId="2610D027" w14:textId="77777777" w:rsidR="00043FDB" w:rsidRPr="00355405" w:rsidRDefault="00043FDB" w:rsidP="00043FDB">
            <w:pPr>
              <w:pStyle w:val="NoSpacing"/>
              <w:jc w:val="center"/>
            </w:pPr>
          </w:p>
          <w:p w14:paraId="6E0E4228" w14:textId="77777777" w:rsidR="00043FDB" w:rsidRPr="00355405" w:rsidRDefault="00043FDB" w:rsidP="00043FDB">
            <w:pPr>
              <w:pStyle w:val="NoSpacing"/>
              <w:jc w:val="center"/>
            </w:pPr>
          </w:p>
          <w:p w14:paraId="340CD824" w14:textId="77777777" w:rsidR="00043FDB" w:rsidRPr="00355405" w:rsidRDefault="00043FDB" w:rsidP="00043FDB">
            <w:pPr>
              <w:pStyle w:val="NoSpacing"/>
              <w:jc w:val="center"/>
            </w:pPr>
          </w:p>
          <w:p w14:paraId="6BCCAE39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ABU</w:t>
            </w:r>
          </w:p>
          <w:p w14:paraId="2644B60C" w14:textId="77777777" w:rsidR="00043FDB" w:rsidRPr="00355405" w:rsidRDefault="00043FDB" w:rsidP="00043FDB">
            <w:pPr>
              <w:pStyle w:val="NoSpacing"/>
              <w:jc w:val="center"/>
            </w:pPr>
          </w:p>
          <w:p w14:paraId="3508AF38" w14:textId="77777777" w:rsidR="00043FDB" w:rsidRPr="00355405" w:rsidRDefault="00043FDB" w:rsidP="00043FDB">
            <w:pPr>
              <w:pStyle w:val="NoSpacing"/>
              <w:jc w:val="center"/>
            </w:pPr>
          </w:p>
          <w:p w14:paraId="2936CE6A" w14:textId="77777777" w:rsidR="00043FDB" w:rsidRPr="00355405" w:rsidRDefault="00043FDB" w:rsidP="00043FDB">
            <w:pPr>
              <w:pStyle w:val="NoSpacing"/>
              <w:jc w:val="center"/>
            </w:pPr>
          </w:p>
          <w:p w14:paraId="36996E88" w14:textId="77777777" w:rsidR="00043FDB" w:rsidRDefault="00043FDB" w:rsidP="00043FDB">
            <w:pPr>
              <w:pStyle w:val="NoSpacing"/>
              <w:jc w:val="center"/>
            </w:pPr>
            <w:r>
              <w:t>Subject leader</w:t>
            </w:r>
          </w:p>
          <w:p w14:paraId="37322FD3" w14:textId="77777777" w:rsidR="00043FDB" w:rsidRPr="00355405" w:rsidRDefault="00043FDB" w:rsidP="00043FDB">
            <w:pPr>
              <w:pStyle w:val="NoSpacing"/>
              <w:jc w:val="center"/>
            </w:pPr>
          </w:p>
          <w:p w14:paraId="1B617205" w14:textId="77777777" w:rsidR="00043FDB" w:rsidRPr="00355405" w:rsidRDefault="00043FDB" w:rsidP="00043FDB">
            <w:pPr>
              <w:pStyle w:val="NoSpacing"/>
            </w:pPr>
          </w:p>
          <w:p w14:paraId="045FDE6C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MTO</w:t>
            </w:r>
          </w:p>
          <w:p w14:paraId="6CE475FA" w14:textId="77777777" w:rsidR="00043FDB" w:rsidRPr="00355405" w:rsidRDefault="00043FDB" w:rsidP="00043FDB">
            <w:pPr>
              <w:pStyle w:val="NoSpacing"/>
              <w:jc w:val="center"/>
            </w:pPr>
          </w:p>
          <w:p w14:paraId="138EE020" w14:textId="77777777" w:rsidR="00043FDB" w:rsidRPr="00355405" w:rsidRDefault="00043FDB" w:rsidP="00043FDB">
            <w:pPr>
              <w:pStyle w:val="NoSpacing"/>
              <w:jc w:val="center"/>
            </w:pPr>
          </w:p>
          <w:p w14:paraId="6B38D91B" w14:textId="77777777" w:rsidR="00043FDB" w:rsidRPr="00355405" w:rsidRDefault="0063679B" w:rsidP="00043FDB">
            <w:pPr>
              <w:pStyle w:val="NoSpacing"/>
              <w:jc w:val="center"/>
            </w:pPr>
            <w:r>
              <w:t>ABU</w:t>
            </w:r>
          </w:p>
        </w:tc>
        <w:tc>
          <w:tcPr>
            <w:tcW w:w="5812" w:type="dxa"/>
            <w:gridSpan w:val="2"/>
          </w:tcPr>
          <w:p w14:paraId="7EEDC476" w14:textId="77777777" w:rsidR="0063679B" w:rsidRDefault="0063679B" w:rsidP="00043FDB">
            <w:pPr>
              <w:pStyle w:val="NoSpacing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Develop a GM Higher offer to our </w:t>
            </w:r>
            <w:r w:rsidR="000221B8">
              <w:rPr>
                <w:rFonts w:cs="Calibri"/>
                <w:lang w:val="en-US"/>
              </w:rPr>
              <w:t>students</w:t>
            </w:r>
            <w:r>
              <w:rPr>
                <w:rFonts w:cs="Calibri"/>
                <w:lang w:val="en-US"/>
              </w:rPr>
              <w:t xml:space="preserve"> in years 9</w:t>
            </w:r>
            <w:r w:rsidR="000221B8">
              <w:rPr>
                <w:rFonts w:cs="Calibri"/>
                <w:lang w:val="en-US"/>
              </w:rPr>
              <w:t>, 10</w:t>
            </w:r>
            <w:r>
              <w:rPr>
                <w:rFonts w:cs="Calibri"/>
                <w:lang w:val="en-US"/>
              </w:rPr>
              <w:t xml:space="preserve"> and 11. </w:t>
            </w:r>
          </w:p>
          <w:p w14:paraId="0296D330" w14:textId="77777777" w:rsidR="0063679B" w:rsidRDefault="0063679B" w:rsidP="00043FDB">
            <w:pPr>
              <w:pStyle w:val="NoSpacing"/>
              <w:rPr>
                <w:rFonts w:cs="Calibri"/>
                <w:lang w:val="en-US"/>
              </w:rPr>
            </w:pPr>
          </w:p>
          <w:p w14:paraId="6F3096B3" w14:textId="77777777" w:rsidR="00043FDB" w:rsidRDefault="00043FDB" w:rsidP="00043FDB">
            <w:pPr>
              <w:pStyle w:val="NoSpacing"/>
              <w:rPr>
                <w:rFonts w:cs="Times"/>
                <w:lang w:val="en-US"/>
              </w:rPr>
            </w:pPr>
            <w:r w:rsidRPr="00355405">
              <w:rPr>
                <w:rFonts w:cs="Calibri"/>
                <w:lang w:val="en-US"/>
              </w:rPr>
              <w:t xml:space="preserve">Attend college visits that are best suited to the needs of each </w:t>
            </w:r>
            <w:r w:rsidR="006F7BCE">
              <w:rPr>
                <w:rFonts w:cs="Calibri"/>
                <w:lang w:val="en-US"/>
              </w:rPr>
              <w:t>PP</w:t>
            </w:r>
            <w:r w:rsidRPr="00355405">
              <w:rPr>
                <w:rFonts w:cs="Calibri"/>
                <w:lang w:val="en-US"/>
              </w:rPr>
              <w:t xml:space="preserve"> pupil. Strong careers advice and guidance through outside provider</w:t>
            </w:r>
            <w:r w:rsidRPr="00355405">
              <w:rPr>
                <w:rFonts w:cs="Times"/>
                <w:lang w:val="en-US"/>
              </w:rPr>
              <w:t>.</w:t>
            </w:r>
          </w:p>
          <w:p w14:paraId="36124F0F" w14:textId="77777777" w:rsidR="00043FDB" w:rsidRPr="00355405" w:rsidRDefault="00043FDB" w:rsidP="00043FDB">
            <w:pPr>
              <w:pStyle w:val="NoSpacing"/>
              <w:rPr>
                <w:rFonts w:cs="Times"/>
                <w:lang w:val="en-US"/>
              </w:rPr>
            </w:pPr>
          </w:p>
          <w:p w14:paraId="776FD0EE" w14:textId="77777777" w:rsidR="00043FDB" w:rsidRPr="00355405" w:rsidRDefault="00043FDB" w:rsidP="00043FDB">
            <w:pPr>
              <w:pStyle w:val="NoSpacing"/>
            </w:pPr>
            <w:r w:rsidRPr="00355405">
              <w:t xml:space="preserve">Fund raising activities to </w:t>
            </w:r>
            <w:r w:rsidR="000221B8" w:rsidRPr="00355405">
              <w:t>su</w:t>
            </w:r>
            <w:r w:rsidR="000221B8">
              <w:t>pp</w:t>
            </w:r>
            <w:r w:rsidR="000221B8" w:rsidRPr="00355405">
              <w:t>ort</w:t>
            </w:r>
            <w:r w:rsidRPr="00355405">
              <w:t xml:space="preserve"> disadvantaged students’ participation in extended visits.  (Yorkshire 3 Peaks challenge, Coast to Coast cycle).  </w:t>
            </w:r>
          </w:p>
          <w:p w14:paraId="17AF3C8A" w14:textId="77777777" w:rsidR="00043FDB" w:rsidRPr="00355405" w:rsidRDefault="00043FDB" w:rsidP="00043FDB">
            <w:pPr>
              <w:pStyle w:val="NoSpacing"/>
            </w:pPr>
          </w:p>
          <w:p w14:paraId="38B23A33" w14:textId="77777777" w:rsidR="00043FDB" w:rsidRDefault="00043FDB" w:rsidP="00043FDB">
            <w:pPr>
              <w:pStyle w:val="NoSpacing"/>
            </w:pPr>
            <w:r w:rsidRPr="00355405">
              <w:t xml:space="preserve">All subjects seek </w:t>
            </w:r>
            <w:r w:rsidR="000221B8" w:rsidRPr="00355405">
              <w:t>o</w:t>
            </w:r>
            <w:r w:rsidR="000221B8">
              <w:t>pp</w:t>
            </w:r>
            <w:r w:rsidR="000221B8" w:rsidRPr="00355405">
              <w:t>ortunities</w:t>
            </w:r>
            <w:r w:rsidRPr="00355405">
              <w:t xml:space="preserve"> for students’ enrichment, particularly through charitable organisations.</w:t>
            </w:r>
          </w:p>
          <w:p w14:paraId="286F759E" w14:textId="77777777" w:rsidR="00043FDB" w:rsidRPr="00355405" w:rsidRDefault="00043FDB" w:rsidP="00043FDB">
            <w:pPr>
              <w:pStyle w:val="NoSpacing"/>
            </w:pPr>
          </w:p>
          <w:p w14:paraId="570005FD" w14:textId="77777777" w:rsidR="00043FDB" w:rsidRDefault="00043FDB" w:rsidP="00043FDB">
            <w:pPr>
              <w:pStyle w:val="NoSpacing"/>
            </w:pPr>
            <w:r w:rsidRPr="00355405">
              <w:t xml:space="preserve">Develop SIMS interventions </w:t>
            </w:r>
            <w:r>
              <w:t>tracking</w:t>
            </w:r>
            <w:r w:rsidRPr="00355405">
              <w:t xml:space="preserve"> to track and monitor </w:t>
            </w:r>
            <w:r w:rsidR="006F7BCE">
              <w:t>PP</w:t>
            </w:r>
            <w:r w:rsidRPr="00355405">
              <w:t xml:space="preserve"> student participation.  </w:t>
            </w:r>
          </w:p>
          <w:p w14:paraId="36F2A1B6" w14:textId="77777777" w:rsidR="00043FDB" w:rsidRPr="00355405" w:rsidRDefault="00043FDB" w:rsidP="00043FDB">
            <w:pPr>
              <w:pStyle w:val="NoSpacing"/>
            </w:pPr>
          </w:p>
          <w:p w14:paraId="1532A50D" w14:textId="77777777" w:rsidR="00043FDB" w:rsidRPr="00355405" w:rsidRDefault="00043FDB" w:rsidP="00043FDB">
            <w:pPr>
              <w:pStyle w:val="NoSpacing"/>
            </w:pPr>
            <w:r w:rsidRPr="00355405">
              <w:t xml:space="preserve">MMU to mentor </w:t>
            </w:r>
            <w:r w:rsidR="006F7BCE">
              <w:t>PP</w:t>
            </w:r>
            <w:r w:rsidRPr="00355405">
              <w:t xml:space="preserve"> learners from year 10, in school with MMU student mentors coming into the Academy.  The focus will be to provide </w:t>
            </w:r>
            <w:r w:rsidR="006F7BCE">
              <w:t>PP</w:t>
            </w:r>
            <w:r w:rsidRPr="00355405">
              <w:t xml:space="preserve"> </w:t>
            </w:r>
            <w:r w:rsidR="000221B8" w:rsidRPr="00355405">
              <w:t>learners that</w:t>
            </w:r>
            <w:r w:rsidRPr="00355405">
              <w:t xml:space="preserve"> would otherwise not be exposed to further education</w:t>
            </w:r>
            <w:r w:rsidR="0063679B">
              <w:t>.</w:t>
            </w:r>
          </w:p>
        </w:tc>
        <w:tc>
          <w:tcPr>
            <w:tcW w:w="2693" w:type="dxa"/>
          </w:tcPr>
          <w:p w14:paraId="52F2A6B5" w14:textId="77777777" w:rsidR="00043FDB" w:rsidRPr="00355405" w:rsidRDefault="00043FDB" w:rsidP="00043FDB">
            <w:pPr>
              <w:pStyle w:val="NoSpacing"/>
            </w:pPr>
            <w:r w:rsidRPr="00355405">
              <w:t xml:space="preserve">Monitoring of participation rates shows disadvantaged students are represented and that costs do not </w:t>
            </w:r>
            <w:proofErr w:type="gramStart"/>
            <w:r w:rsidRPr="00355405">
              <w:t>impeded</w:t>
            </w:r>
            <w:proofErr w:type="gramEnd"/>
            <w:r w:rsidRPr="00355405">
              <w:t xml:space="preserve"> their participation.</w:t>
            </w:r>
          </w:p>
          <w:p w14:paraId="41F2566E" w14:textId="77777777" w:rsidR="00043FDB" w:rsidRPr="00355405" w:rsidRDefault="00043FDB" w:rsidP="00043FDB">
            <w:pPr>
              <w:pStyle w:val="NoSpacing"/>
            </w:pPr>
          </w:p>
          <w:p w14:paraId="08EA8A4A" w14:textId="77777777" w:rsidR="00043FDB" w:rsidRDefault="00043FDB" w:rsidP="00043FDB">
            <w:pPr>
              <w:pStyle w:val="NoSpacing"/>
            </w:pPr>
            <w:r w:rsidRPr="00355405">
              <w:t xml:space="preserve">ALL Year 11 </w:t>
            </w:r>
            <w:r w:rsidR="006F7BCE">
              <w:t>PP</w:t>
            </w:r>
            <w:r w:rsidRPr="00355405">
              <w:t xml:space="preserve"> students will have received a careers meeting by July 2018.</w:t>
            </w:r>
          </w:p>
          <w:p w14:paraId="28C7E192" w14:textId="77777777" w:rsidR="0063679B" w:rsidRDefault="0063679B" w:rsidP="00043FDB">
            <w:pPr>
              <w:pStyle w:val="NoSpacing"/>
            </w:pPr>
          </w:p>
          <w:p w14:paraId="172569B8" w14:textId="77777777" w:rsidR="0063679B" w:rsidRPr="00355405" w:rsidRDefault="0063679B" w:rsidP="00043FDB">
            <w:pPr>
              <w:pStyle w:val="NoSpacing"/>
            </w:pPr>
            <w:r>
              <w:t>Student feedback from each activity.</w:t>
            </w:r>
          </w:p>
          <w:p w14:paraId="11557CDB" w14:textId="77777777" w:rsidR="00043FDB" w:rsidRPr="00355405" w:rsidRDefault="00043FDB" w:rsidP="00043FDB">
            <w:pPr>
              <w:pStyle w:val="NoSpacing"/>
            </w:pPr>
          </w:p>
          <w:p w14:paraId="17A39C34" w14:textId="77777777" w:rsidR="00043FDB" w:rsidRPr="00355405" w:rsidRDefault="00043FDB" w:rsidP="00043FDB">
            <w:pPr>
              <w:pStyle w:val="NoSpacing"/>
            </w:pPr>
          </w:p>
        </w:tc>
        <w:tc>
          <w:tcPr>
            <w:tcW w:w="1925" w:type="dxa"/>
          </w:tcPr>
          <w:p w14:paraId="7AAC24AB" w14:textId="77777777" w:rsidR="00043FDB" w:rsidRPr="00355405" w:rsidRDefault="00043FDB" w:rsidP="00043FDB">
            <w:pPr>
              <w:pStyle w:val="NoSpacing"/>
            </w:pPr>
            <w:r>
              <w:t xml:space="preserve">Cost to </w:t>
            </w:r>
            <w:r w:rsidR="000221B8">
              <w:t>support</w:t>
            </w:r>
            <w:r>
              <w:t xml:space="preserve"> </w:t>
            </w:r>
            <w:r w:rsidR="000221B8" w:rsidRPr="00355405">
              <w:t>lunchtime</w:t>
            </w:r>
            <w:r w:rsidRPr="00355405">
              <w:t xml:space="preserve"> activities.</w:t>
            </w:r>
          </w:p>
          <w:p w14:paraId="3907B3A6" w14:textId="77777777" w:rsidR="00043FDB" w:rsidRPr="00355405" w:rsidRDefault="00043FDB" w:rsidP="00043FDB">
            <w:pPr>
              <w:pStyle w:val="NoSpacing"/>
            </w:pPr>
          </w:p>
          <w:p w14:paraId="7783C723" w14:textId="77777777" w:rsidR="00043FDB" w:rsidRPr="00355405" w:rsidRDefault="00043FDB" w:rsidP="00043FDB">
            <w:pPr>
              <w:pStyle w:val="NoSpacing"/>
            </w:pPr>
            <w:r w:rsidRPr="00355405">
              <w:t xml:space="preserve">Cost to </w:t>
            </w:r>
            <w:r w:rsidR="000221B8" w:rsidRPr="00355405">
              <w:t>su</w:t>
            </w:r>
            <w:r w:rsidR="000221B8">
              <w:t>pp</w:t>
            </w:r>
            <w:r w:rsidR="000221B8" w:rsidRPr="00355405">
              <w:t>ort</w:t>
            </w:r>
            <w:r w:rsidRPr="00355405">
              <w:t xml:space="preserve"> HE and FE visits.</w:t>
            </w:r>
          </w:p>
          <w:p w14:paraId="157B6FC5" w14:textId="77777777" w:rsidR="00043FDB" w:rsidRPr="00355405" w:rsidRDefault="00043FDB" w:rsidP="00043FDB">
            <w:pPr>
              <w:pStyle w:val="NoSpacing"/>
            </w:pPr>
          </w:p>
          <w:p w14:paraId="3B7B9B54" w14:textId="77777777" w:rsidR="00043FDB" w:rsidRPr="00355405" w:rsidRDefault="00043FDB" w:rsidP="00043FDB">
            <w:pPr>
              <w:pStyle w:val="NoSpacing"/>
            </w:pPr>
            <w:r w:rsidRPr="00355405">
              <w:t>Cost of MMU men</w:t>
            </w:r>
            <w:r w:rsidR="000221B8">
              <w:t>t</w:t>
            </w:r>
            <w:r w:rsidRPr="00355405">
              <w:t>ors = no cost as ran through GM higher</w:t>
            </w:r>
          </w:p>
        </w:tc>
      </w:tr>
      <w:tr w:rsidR="00043FDB" w:rsidRPr="00355405" w14:paraId="3FD7FBF3" w14:textId="77777777" w:rsidTr="00B30A6E">
        <w:tblPrEx>
          <w:jc w:val="left"/>
        </w:tblPrEx>
        <w:tc>
          <w:tcPr>
            <w:tcW w:w="955" w:type="dxa"/>
          </w:tcPr>
          <w:p w14:paraId="538B0234" w14:textId="77777777" w:rsidR="00043FDB" w:rsidRPr="00355405" w:rsidRDefault="00043FDB" w:rsidP="00043FDB">
            <w:pPr>
              <w:pStyle w:val="NoSpacing"/>
            </w:pPr>
          </w:p>
          <w:p w14:paraId="16E0792F" w14:textId="77777777" w:rsidR="00043FDB" w:rsidRPr="00355405" w:rsidRDefault="00043FDB" w:rsidP="00043FD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09" w:type="dxa"/>
          </w:tcPr>
          <w:p w14:paraId="3C95AFF4" w14:textId="77777777" w:rsidR="00043FDB" w:rsidRPr="00355405" w:rsidRDefault="00043FDB" w:rsidP="00043FDB">
            <w:pPr>
              <w:pStyle w:val="NoSpacing"/>
            </w:pPr>
            <w:proofErr w:type="spellStart"/>
            <w:r w:rsidRPr="00355405">
              <w:t>O</w:t>
            </w:r>
            <w:r w:rsidR="006F7BCE">
              <w:t>PP</w:t>
            </w:r>
            <w:r w:rsidRPr="00355405">
              <w:t>ortunities</w:t>
            </w:r>
            <w:proofErr w:type="spellEnd"/>
            <w:r w:rsidRPr="00355405">
              <w:t xml:space="preserve"> to visit university and academic FE Colleges raise aspirations and increases progress of disadvantaged students into Level 3 programmes at the end of Year 11.</w:t>
            </w:r>
          </w:p>
          <w:p w14:paraId="558C001A" w14:textId="77777777" w:rsidR="00043FDB" w:rsidRPr="00355405" w:rsidRDefault="00043FDB" w:rsidP="00043FDB">
            <w:pPr>
              <w:pStyle w:val="NoSpacing"/>
            </w:pPr>
          </w:p>
        </w:tc>
        <w:tc>
          <w:tcPr>
            <w:tcW w:w="1559" w:type="dxa"/>
          </w:tcPr>
          <w:p w14:paraId="76ECC4D3" w14:textId="77777777" w:rsidR="00043FDB" w:rsidRPr="00355405" w:rsidRDefault="003843D0" w:rsidP="00043FDB">
            <w:pPr>
              <w:pStyle w:val="NoSpacing"/>
              <w:jc w:val="center"/>
            </w:pPr>
            <w:r>
              <w:t>Careers adviser</w:t>
            </w:r>
          </w:p>
          <w:p w14:paraId="7447DB9E" w14:textId="77777777" w:rsidR="00043FDB" w:rsidRPr="00355405" w:rsidRDefault="00043FDB" w:rsidP="003843D0">
            <w:pPr>
              <w:pStyle w:val="NoSpacing"/>
            </w:pPr>
          </w:p>
          <w:p w14:paraId="03C13E1A" w14:textId="77777777" w:rsidR="00043FDB" w:rsidRPr="00355405" w:rsidRDefault="00043FDB" w:rsidP="00043FDB">
            <w:pPr>
              <w:pStyle w:val="NoSpacing"/>
              <w:jc w:val="center"/>
            </w:pPr>
          </w:p>
          <w:p w14:paraId="27782F1B" w14:textId="77777777" w:rsidR="00043FDB" w:rsidRDefault="003843D0" w:rsidP="00043FDB">
            <w:pPr>
              <w:pStyle w:val="NoSpacing"/>
              <w:jc w:val="center"/>
            </w:pPr>
            <w:r>
              <w:t>ABU</w:t>
            </w:r>
          </w:p>
          <w:p w14:paraId="48B3F979" w14:textId="77777777" w:rsidR="00043FDB" w:rsidRDefault="00043FDB" w:rsidP="00043FDB">
            <w:pPr>
              <w:pStyle w:val="NoSpacing"/>
              <w:jc w:val="center"/>
            </w:pPr>
          </w:p>
          <w:p w14:paraId="3B76688E" w14:textId="77777777" w:rsidR="00043FDB" w:rsidRDefault="00043FDB" w:rsidP="00043FDB">
            <w:pPr>
              <w:pStyle w:val="NoSpacing"/>
              <w:jc w:val="center"/>
            </w:pPr>
          </w:p>
          <w:p w14:paraId="4895E202" w14:textId="77777777" w:rsidR="00043FDB" w:rsidRDefault="00043FDB" w:rsidP="00043FDB">
            <w:pPr>
              <w:pStyle w:val="NoSpacing"/>
              <w:jc w:val="center"/>
            </w:pPr>
            <w:r>
              <w:t>Subject Leader</w:t>
            </w:r>
          </w:p>
          <w:p w14:paraId="390C3913" w14:textId="77777777" w:rsidR="00043FDB" w:rsidRDefault="00043FDB" w:rsidP="00043FDB">
            <w:pPr>
              <w:pStyle w:val="NoSpacing"/>
              <w:jc w:val="center"/>
            </w:pPr>
          </w:p>
          <w:p w14:paraId="24F65948" w14:textId="77777777" w:rsidR="00043FDB" w:rsidRDefault="00043FDB" w:rsidP="00043FDB">
            <w:pPr>
              <w:pStyle w:val="NoSpacing"/>
              <w:jc w:val="center"/>
            </w:pPr>
          </w:p>
          <w:p w14:paraId="19CBEEA8" w14:textId="77777777" w:rsidR="00043FDB" w:rsidRPr="00355405" w:rsidRDefault="00043FDB" w:rsidP="00043FDB">
            <w:pPr>
              <w:pStyle w:val="NoSpacing"/>
              <w:jc w:val="center"/>
            </w:pPr>
            <w:r w:rsidRPr="00355405">
              <w:t>Researchers in School</w:t>
            </w:r>
          </w:p>
        </w:tc>
        <w:tc>
          <w:tcPr>
            <w:tcW w:w="5812" w:type="dxa"/>
            <w:gridSpan w:val="2"/>
          </w:tcPr>
          <w:p w14:paraId="3F8F7228" w14:textId="77777777" w:rsidR="00043FDB" w:rsidRPr="00355405" w:rsidRDefault="00043FDB" w:rsidP="00043FDB">
            <w:pPr>
              <w:pStyle w:val="NoSpacing"/>
            </w:pPr>
            <w:r w:rsidRPr="00355405">
              <w:lastRenderedPageBreak/>
              <w:t>An increase in the number of University and FE visits and participation in HE- and FE- organised competitions and activities arranged.</w:t>
            </w:r>
          </w:p>
          <w:p w14:paraId="7D1B3B2C" w14:textId="77777777" w:rsidR="00043FDB" w:rsidRPr="00355405" w:rsidRDefault="00043FDB" w:rsidP="00043FDB">
            <w:pPr>
              <w:pStyle w:val="NoSpacing"/>
            </w:pPr>
          </w:p>
          <w:p w14:paraId="18BA149A" w14:textId="77777777" w:rsidR="00043FDB" w:rsidRPr="00355405" w:rsidRDefault="00043FDB" w:rsidP="00043FDB">
            <w:pPr>
              <w:pStyle w:val="NoSpacing"/>
            </w:pPr>
            <w:r w:rsidRPr="00355405">
              <w:t>Transport arranged for disadvanta</w:t>
            </w:r>
            <w:r>
              <w:t>ged students and their families to and from colleges taster days / open evenings</w:t>
            </w:r>
          </w:p>
          <w:p w14:paraId="35B5171C" w14:textId="77777777" w:rsidR="00043FDB" w:rsidRPr="00355405" w:rsidRDefault="00043FDB" w:rsidP="00043FDB">
            <w:pPr>
              <w:pStyle w:val="NoSpacing"/>
            </w:pPr>
          </w:p>
          <w:p w14:paraId="7F446BBA" w14:textId="77777777" w:rsidR="00043FDB" w:rsidRPr="00355405" w:rsidRDefault="00043FDB" w:rsidP="00043FDB">
            <w:pPr>
              <w:pStyle w:val="NoSpacing"/>
            </w:pPr>
            <w:r w:rsidRPr="00355405">
              <w:lastRenderedPageBreak/>
              <w:t xml:space="preserve">Guest speakers and university professionals visiting the academy every half term targeting </w:t>
            </w:r>
            <w:r w:rsidR="006F7BCE">
              <w:t>PP</w:t>
            </w:r>
            <w:r w:rsidRPr="00355405">
              <w:t xml:space="preserve"> students.  </w:t>
            </w:r>
          </w:p>
          <w:p w14:paraId="7EE5C79C" w14:textId="77777777" w:rsidR="00043FDB" w:rsidRPr="00355405" w:rsidRDefault="00043FDB" w:rsidP="00043FDB">
            <w:pPr>
              <w:pStyle w:val="NoSpacing"/>
            </w:pPr>
          </w:p>
          <w:p w14:paraId="5027B46A" w14:textId="77777777" w:rsidR="00043FDB" w:rsidRPr="00355405" w:rsidRDefault="00043FDB" w:rsidP="00043FDB">
            <w:pPr>
              <w:pStyle w:val="NoSpacing"/>
            </w:pPr>
            <w:r w:rsidRPr="00355405">
              <w:t xml:space="preserve">Researchers in school to have a focus on </w:t>
            </w:r>
            <w:r w:rsidR="006F7BCE">
              <w:t>PP</w:t>
            </w:r>
            <w:r w:rsidRPr="00355405">
              <w:t xml:space="preserve"> students, taking students to engage with </w:t>
            </w:r>
            <w:proofErr w:type="gramStart"/>
            <w:r w:rsidRPr="00355405">
              <w:t>University</w:t>
            </w:r>
            <w:proofErr w:type="gramEnd"/>
            <w:r w:rsidRPr="00355405">
              <w:t xml:space="preserve"> based experiences.  </w:t>
            </w:r>
          </w:p>
        </w:tc>
        <w:tc>
          <w:tcPr>
            <w:tcW w:w="2693" w:type="dxa"/>
          </w:tcPr>
          <w:p w14:paraId="1E413362" w14:textId="77777777" w:rsidR="00043FDB" w:rsidRPr="00355405" w:rsidRDefault="00043FDB" w:rsidP="00043FDB">
            <w:pPr>
              <w:pStyle w:val="NoSpacing"/>
            </w:pPr>
            <w:r w:rsidRPr="00355405">
              <w:lastRenderedPageBreak/>
              <w:t xml:space="preserve">Evidence from Student Voice and from Year 11 FE </w:t>
            </w:r>
            <w:r w:rsidR="000221B8" w:rsidRPr="00355405">
              <w:t>a</w:t>
            </w:r>
            <w:r w:rsidR="000221B8">
              <w:t>pp</w:t>
            </w:r>
            <w:r w:rsidR="000221B8" w:rsidRPr="00355405">
              <w:t>lications</w:t>
            </w:r>
            <w:r w:rsidRPr="00355405">
              <w:t xml:space="preserve"> and offers show raised aspirations and </w:t>
            </w:r>
            <w:r w:rsidR="000221B8" w:rsidRPr="00355405">
              <w:t>a</w:t>
            </w:r>
            <w:r w:rsidR="000221B8">
              <w:t>pp</w:t>
            </w:r>
            <w:r w:rsidR="000221B8" w:rsidRPr="00355405">
              <w:t>lications</w:t>
            </w:r>
            <w:r w:rsidRPr="00355405">
              <w:t xml:space="preserve"> to Connell SFC and other Level 3 providers.</w:t>
            </w:r>
          </w:p>
          <w:p w14:paraId="465CE728" w14:textId="77777777" w:rsidR="00043FDB" w:rsidRPr="00355405" w:rsidRDefault="00043FDB" w:rsidP="00043FDB">
            <w:pPr>
              <w:pStyle w:val="NoSpacing"/>
            </w:pPr>
          </w:p>
          <w:p w14:paraId="751CB7FA" w14:textId="77777777" w:rsidR="00043FDB" w:rsidRPr="00355405" w:rsidRDefault="00043FDB" w:rsidP="00043FDB">
            <w:pPr>
              <w:pStyle w:val="NoSpacing"/>
            </w:pPr>
            <w:r w:rsidRPr="0080306B">
              <w:rPr>
                <w:b/>
              </w:rPr>
              <w:lastRenderedPageBreak/>
              <w:t>ALL</w:t>
            </w:r>
            <w:r w:rsidRPr="00355405">
              <w:t xml:space="preserve"> Year 11 </w:t>
            </w:r>
            <w:r w:rsidR="006F7BCE">
              <w:t>PP</w:t>
            </w:r>
            <w:r w:rsidRPr="00355405">
              <w:t xml:space="preserve"> students will have the </w:t>
            </w:r>
            <w:r w:rsidR="000221B8" w:rsidRPr="00355405">
              <w:t>o</w:t>
            </w:r>
            <w:r w:rsidR="000221B8">
              <w:t>pp</w:t>
            </w:r>
            <w:r w:rsidR="000221B8" w:rsidRPr="00355405">
              <w:t>ortunity</w:t>
            </w:r>
            <w:r w:rsidRPr="00355405">
              <w:t xml:space="preserve"> to visit a college/ University by July 2018. </w:t>
            </w:r>
          </w:p>
        </w:tc>
        <w:tc>
          <w:tcPr>
            <w:tcW w:w="1925" w:type="dxa"/>
          </w:tcPr>
          <w:p w14:paraId="69CAF8D7" w14:textId="77777777" w:rsidR="00043FDB" w:rsidRDefault="00043FDB" w:rsidP="00043FDB">
            <w:pPr>
              <w:pStyle w:val="NoSpacing"/>
            </w:pPr>
            <w:r>
              <w:lastRenderedPageBreak/>
              <w:t xml:space="preserve">Cost of transport to </w:t>
            </w:r>
            <w:r w:rsidR="000221B8">
              <w:t>support</w:t>
            </w:r>
            <w:r>
              <w:t xml:space="preserve"> morning pick ups</w:t>
            </w:r>
          </w:p>
          <w:p w14:paraId="2AB9363C" w14:textId="77777777" w:rsidR="00043FDB" w:rsidRDefault="00043FDB" w:rsidP="00043FDB">
            <w:pPr>
              <w:pStyle w:val="NoSpacing"/>
            </w:pPr>
          </w:p>
          <w:p w14:paraId="1E626561" w14:textId="77777777" w:rsidR="00043FDB" w:rsidRPr="00355405" w:rsidRDefault="00043FDB" w:rsidP="00043FDB">
            <w:pPr>
              <w:pStyle w:val="NoSpacing"/>
            </w:pPr>
            <w:r>
              <w:t xml:space="preserve">Cost </w:t>
            </w:r>
            <w:r w:rsidR="000221B8">
              <w:t>of</w:t>
            </w:r>
            <w:r>
              <w:t xml:space="preserve"> transport to </w:t>
            </w:r>
            <w:r w:rsidR="000221B8">
              <w:t>support</w:t>
            </w:r>
            <w:r>
              <w:t xml:space="preserve"> HE and FE trips and visits</w:t>
            </w:r>
          </w:p>
        </w:tc>
      </w:tr>
    </w:tbl>
    <w:p w14:paraId="5BE97E94" w14:textId="77777777" w:rsidR="005C54D1" w:rsidRPr="00355405" w:rsidRDefault="005C54D1" w:rsidP="0080306B">
      <w:pPr>
        <w:pStyle w:val="NoSpacing"/>
        <w:rPr>
          <w:u w:val="single"/>
        </w:rPr>
      </w:pPr>
    </w:p>
    <w:p w14:paraId="27A9E3C9" w14:textId="77777777" w:rsidR="001A0AF4" w:rsidRDefault="001A0AF4" w:rsidP="0080306B">
      <w:pPr>
        <w:pStyle w:val="NoSpacing"/>
        <w:rPr>
          <w:u w:val="single"/>
        </w:rPr>
      </w:pPr>
    </w:p>
    <w:sectPr w:rsidR="001A0AF4" w:rsidSect="00626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D1335"/>
    <w:multiLevelType w:val="hybridMultilevel"/>
    <w:tmpl w:val="AD4EF916"/>
    <w:lvl w:ilvl="0" w:tplc="6020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FAB"/>
    <w:multiLevelType w:val="hybridMultilevel"/>
    <w:tmpl w:val="466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7F4"/>
    <w:multiLevelType w:val="hybridMultilevel"/>
    <w:tmpl w:val="E19E1EF2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7AB"/>
    <w:multiLevelType w:val="hybridMultilevel"/>
    <w:tmpl w:val="E7507D00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94B"/>
    <w:multiLevelType w:val="hybridMultilevel"/>
    <w:tmpl w:val="F8A69996"/>
    <w:lvl w:ilvl="0" w:tplc="B8E84D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E4B35"/>
    <w:multiLevelType w:val="hybridMultilevel"/>
    <w:tmpl w:val="527CD272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A2A"/>
    <w:multiLevelType w:val="hybridMultilevel"/>
    <w:tmpl w:val="6E228E12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5331"/>
    <w:multiLevelType w:val="hybridMultilevel"/>
    <w:tmpl w:val="A1A6DD04"/>
    <w:lvl w:ilvl="0" w:tplc="7CFE9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6C78"/>
    <w:multiLevelType w:val="hybridMultilevel"/>
    <w:tmpl w:val="1D3A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2A92"/>
    <w:multiLevelType w:val="hybridMultilevel"/>
    <w:tmpl w:val="3F40C6F2"/>
    <w:lvl w:ilvl="0" w:tplc="635666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3466"/>
    <w:multiLevelType w:val="hybridMultilevel"/>
    <w:tmpl w:val="42065D06"/>
    <w:lvl w:ilvl="0" w:tplc="B1E2B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E2B79"/>
    <w:multiLevelType w:val="hybridMultilevel"/>
    <w:tmpl w:val="AB36B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5E23"/>
    <w:multiLevelType w:val="hybridMultilevel"/>
    <w:tmpl w:val="38CC69A4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321EF"/>
    <w:multiLevelType w:val="hybridMultilevel"/>
    <w:tmpl w:val="F0D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D29"/>
    <w:multiLevelType w:val="hybridMultilevel"/>
    <w:tmpl w:val="7604016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4FFB"/>
    <w:multiLevelType w:val="hybridMultilevel"/>
    <w:tmpl w:val="1752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2904"/>
    <w:multiLevelType w:val="hybridMultilevel"/>
    <w:tmpl w:val="94C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7D00"/>
    <w:multiLevelType w:val="hybridMultilevel"/>
    <w:tmpl w:val="6B8C43F6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17F0"/>
    <w:multiLevelType w:val="hybridMultilevel"/>
    <w:tmpl w:val="6CB4C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34D6"/>
    <w:multiLevelType w:val="hybridMultilevel"/>
    <w:tmpl w:val="1F18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067CE"/>
    <w:multiLevelType w:val="hybridMultilevel"/>
    <w:tmpl w:val="0B8E9304"/>
    <w:lvl w:ilvl="0" w:tplc="D9C04E68">
      <w:start w:val="2017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1122DC7"/>
    <w:multiLevelType w:val="hybridMultilevel"/>
    <w:tmpl w:val="E30CCC58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F7594"/>
    <w:multiLevelType w:val="hybridMultilevel"/>
    <w:tmpl w:val="940652C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34591"/>
    <w:multiLevelType w:val="hybridMultilevel"/>
    <w:tmpl w:val="D744F1F0"/>
    <w:lvl w:ilvl="0" w:tplc="C3CAB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8761673">
    <w:abstractNumId w:val="20"/>
  </w:num>
  <w:num w:numId="2" w16cid:durableId="375859664">
    <w:abstractNumId w:val="23"/>
  </w:num>
  <w:num w:numId="3" w16cid:durableId="803695363">
    <w:abstractNumId w:val="8"/>
  </w:num>
  <w:num w:numId="4" w16cid:durableId="1673022573">
    <w:abstractNumId w:val="22"/>
  </w:num>
  <w:num w:numId="5" w16cid:durableId="1453406350">
    <w:abstractNumId w:val="1"/>
  </w:num>
  <w:num w:numId="6" w16cid:durableId="760295620">
    <w:abstractNumId w:val="16"/>
  </w:num>
  <w:num w:numId="7" w16cid:durableId="1645040028">
    <w:abstractNumId w:val="12"/>
  </w:num>
  <w:num w:numId="8" w16cid:durableId="198858364">
    <w:abstractNumId w:val="6"/>
  </w:num>
  <w:num w:numId="9" w16cid:durableId="2110152185">
    <w:abstractNumId w:val="5"/>
  </w:num>
  <w:num w:numId="10" w16cid:durableId="342754564">
    <w:abstractNumId w:val="11"/>
  </w:num>
  <w:num w:numId="11" w16cid:durableId="1835677798">
    <w:abstractNumId w:val="24"/>
  </w:num>
  <w:num w:numId="12" w16cid:durableId="909271982">
    <w:abstractNumId w:val="18"/>
  </w:num>
  <w:num w:numId="13" w16cid:durableId="203637127">
    <w:abstractNumId w:val="4"/>
  </w:num>
  <w:num w:numId="14" w16cid:durableId="1809006794">
    <w:abstractNumId w:val="21"/>
  </w:num>
  <w:num w:numId="15" w16cid:durableId="2130275411">
    <w:abstractNumId w:val="13"/>
  </w:num>
  <w:num w:numId="16" w16cid:durableId="809059601">
    <w:abstractNumId w:val="10"/>
  </w:num>
  <w:num w:numId="17" w16cid:durableId="1150363686">
    <w:abstractNumId w:val="0"/>
  </w:num>
  <w:num w:numId="18" w16cid:durableId="2101944586">
    <w:abstractNumId w:val="2"/>
  </w:num>
  <w:num w:numId="19" w16cid:durableId="362942188">
    <w:abstractNumId w:val="17"/>
  </w:num>
  <w:num w:numId="20" w16cid:durableId="1028719231">
    <w:abstractNumId w:val="9"/>
  </w:num>
  <w:num w:numId="21" w16cid:durableId="853038704">
    <w:abstractNumId w:val="7"/>
  </w:num>
  <w:num w:numId="22" w16cid:durableId="107238928">
    <w:abstractNumId w:val="3"/>
  </w:num>
  <w:num w:numId="23" w16cid:durableId="734201305">
    <w:abstractNumId w:val="15"/>
  </w:num>
  <w:num w:numId="24" w16cid:durableId="903025528">
    <w:abstractNumId w:val="19"/>
  </w:num>
  <w:num w:numId="25" w16cid:durableId="903567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79"/>
    <w:rsid w:val="0000250C"/>
    <w:rsid w:val="0000644E"/>
    <w:rsid w:val="000100B7"/>
    <w:rsid w:val="00014BC2"/>
    <w:rsid w:val="00021E3F"/>
    <w:rsid w:val="000221B8"/>
    <w:rsid w:val="000354F1"/>
    <w:rsid w:val="00043FDB"/>
    <w:rsid w:val="00044796"/>
    <w:rsid w:val="00051C58"/>
    <w:rsid w:val="00053E84"/>
    <w:rsid w:val="0008044F"/>
    <w:rsid w:val="00080521"/>
    <w:rsid w:val="00081FA6"/>
    <w:rsid w:val="00084342"/>
    <w:rsid w:val="0008625B"/>
    <w:rsid w:val="000C11FC"/>
    <w:rsid w:val="000F12F7"/>
    <w:rsid w:val="000F304A"/>
    <w:rsid w:val="00127BD1"/>
    <w:rsid w:val="00136799"/>
    <w:rsid w:val="00137EEC"/>
    <w:rsid w:val="001467D4"/>
    <w:rsid w:val="001542FE"/>
    <w:rsid w:val="00160813"/>
    <w:rsid w:val="00161529"/>
    <w:rsid w:val="0016703A"/>
    <w:rsid w:val="001708D6"/>
    <w:rsid w:val="00171A99"/>
    <w:rsid w:val="0017438D"/>
    <w:rsid w:val="00187257"/>
    <w:rsid w:val="0019738D"/>
    <w:rsid w:val="001A0AF4"/>
    <w:rsid w:val="001A4037"/>
    <w:rsid w:val="001A63DD"/>
    <w:rsid w:val="001A75A9"/>
    <w:rsid w:val="001B06FC"/>
    <w:rsid w:val="001B1968"/>
    <w:rsid w:val="001C29C7"/>
    <w:rsid w:val="001C7959"/>
    <w:rsid w:val="001D02B1"/>
    <w:rsid w:val="001D4A43"/>
    <w:rsid w:val="001E1869"/>
    <w:rsid w:val="001E2D5F"/>
    <w:rsid w:val="00207ADA"/>
    <w:rsid w:val="002327B0"/>
    <w:rsid w:val="00254C8B"/>
    <w:rsid w:val="0026074A"/>
    <w:rsid w:val="00263155"/>
    <w:rsid w:val="00266131"/>
    <w:rsid w:val="00283FE7"/>
    <w:rsid w:val="002844D3"/>
    <w:rsid w:val="00291A30"/>
    <w:rsid w:val="002922C4"/>
    <w:rsid w:val="002949C7"/>
    <w:rsid w:val="002B622A"/>
    <w:rsid w:val="002C1426"/>
    <w:rsid w:val="002D4940"/>
    <w:rsid w:val="002D528E"/>
    <w:rsid w:val="002F0F0D"/>
    <w:rsid w:val="002F5B58"/>
    <w:rsid w:val="003223F0"/>
    <w:rsid w:val="00333661"/>
    <w:rsid w:val="00333FE2"/>
    <w:rsid w:val="0034244D"/>
    <w:rsid w:val="0034582E"/>
    <w:rsid w:val="00345C9E"/>
    <w:rsid w:val="00346832"/>
    <w:rsid w:val="00355405"/>
    <w:rsid w:val="00366035"/>
    <w:rsid w:val="00374E16"/>
    <w:rsid w:val="003843D0"/>
    <w:rsid w:val="00390729"/>
    <w:rsid w:val="00391F4A"/>
    <w:rsid w:val="00393D3F"/>
    <w:rsid w:val="003A3B62"/>
    <w:rsid w:val="003B43C8"/>
    <w:rsid w:val="003C3001"/>
    <w:rsid w:val="003D3BE7"/>
    <w:rsid w:val="003D7592"/>
    <w:rsid w:val="003E01AA"/>
    <w:rsid w:val="003E4275"/>
    <w:rsid w:val="003E4752"/>
    <w:rsid w:val="003F0417"/>
    <w:rsid w:val="003F41D2"/>
    <w:rsid w:val="00406167"/>
    <w:rsid w:val="0041391B"/>
    <w:rsid w:val="00423DD1"/>
    <w:rsid w:val="00426BE7"/>
    <w:rsid w:val="004317E5"/>
    <w:rsid w:val="00441687"/>
    <w:rsid w:val="004458FC"/>
    <w:rsid w:val="00447FE4"/>
    <w:rsid w:val="004557BC"/>
    <w:rsid w:val="00477A2D"/>
    <w:rsid w:val="00493DB8"/>
    <w:rsid w:val="004C08BB"/>
    <w:rsid w:val="004C29E5"/>
    <w:rsid w:val="004E5E92"/>
    <w:rsid w:val="004E6D04"/>
    <w:rsid w:val="004F0911"/>
    <w:rsid w:val="004F14B5"/>
    <w:rsid w:val="00506FDB"/>
    <w:rsid w:val="00516D62"/>
    <w:rsid w:val="00534F0B"/>
    <w:rsid w:val="00546805"/>
    <w:rsid w:val="0055219F"/>
    <w:rsid w:val="00565198"/>
    <w:rsid w:val="00567BB4"/>
    <w:rsid w:val="00567D40"/>
    <w:rsid w:val="00571F1D"/>
    <w:rsid w:val="00584003"/>
    <w:rsid w:val="00590064"/>
    <w:rsid w:val="00594BB4"/>
    <w:rsid w:val="00595409"/>
    <w:rsid w:val="005961BE"/>
    <w:rsid w:val="005B2040"/>
    <w:rsid w:val="005B534B"/>
    <w:rsid w:val="005C111F"/>
    <w:rsid w:val="005C2C6C"/>
    <w:rsid w:val="005C54D1"/>
    <w:rsid w:val="005C5D5C"/>
    <w:rsid w:val="005D68AA"/>
    <w:rsid w:val="005E7AD5"/>
    <w:rsid w:val="005F0E7B"/>
    <w:rsid w:val="005F100C"/>
    <w:rsid w:val="00602286"/>
    <w:rsid w:val="00611894"/>
    <w:rsid w:val="00621833"/>
    <w:rsid w:val="006236B9"/>
    <w:rsid w:val="00625512"/>
    <w:rsid w:val="00626C2F"/>
    <w:rsid w:val="0063679B"/>
    <w:rsid w:val="006453D7"/>
    <w:rsid w:val="00657E73"/>
    <w:rsid w:val="006603A3"/>
    <w:rsid w:val="0066649F"/>
    <w:rsid w:val="0066708B"/>
    <w:rsid w:val="00667D93"/>
    <w:rsid w:val="006754B6"/>
    <w:rsid w:val="00687C7A"/>
    <w:rsid w:val="00693885"/>
    <w:rsid w:val="006A2F9C"/>
    <w:rsid w:val="006A3F50"/>
    <w:rsid w:val="006B57B2"/>
    <w:rsid w:val="006B65A0"/>
    <w:rsid w:val="006D0BCC"/>
    <w:rsid w:val="006E1F2D"/>
    <w:rsid w:val="006E7F6D"/>
    <w:rsid w:val="006F7BCE"/>
    <w:rsid w:val="00710A23"/>
    <w:rsid w:val="00724AE7"/>
    <w:rsid w:val="00726B28"/>
    <w:rsid w:val="00730F84"/>
    <w:rsid w:val="007335F8"/>
    <w:rsid w:val="00743E25"/>
    <w:rsid w:val="0075097C"/>
    <w:rsid w:val="00754F39"/>
    <w:rsid w:val="00755953"/>
    <w:rsid w:val="00755D63"/>
    <w:rsid w:val="00770B4F"/>
    <w:rsid w:val="0077240C"/>
    <w:rsid w:val="00775D19"/>
    <w:rsid w:val="0077673C"/>
    <w:rsid w:val="00785C71"/>
    <w:rsid w:val="00785CCF"/>
    <w:rsid w:val="007866B9"/>
    <w:rsid w:val="007A311C"/>
    <w:rsid w:val="007A7E78"/>
    <w:rsid w:val="007B11BE"/>
    <w:rsid w:val="007B22C0"/>
    <w:rsid w:val="007D1B70"/>
    <w:rsid w:val="007D40E9"/>
    <w:rsid w:val="007F5025"/>
    <w:rsid w:val="007F596E"/>
    <w:rsid w:val="0080306B"/>
    <w:rsid w:val="0080641F"/>
    <w:rsid w:val="00825451"/>
    <w:rsid w:val="00832C4F"/>
    <w:rsid w:val="00866A71"/>
    <w:rsid w:val="00883961"/>
    <w:rsid w:val="008D5F5B"/>
    <w:rsid w:val="008D7881"/>
    <w:rsid w:val="008F6264"/>
    <w:rsid w:val="0091715F"/>
    <w:rsid w:val="00921422"/>
    <w:rsid w:val="0092142E"/>
    <w:rsid w:val="009263C1"/>
    <w:rsid w:val="009267BC"/>
    <w:rsid w:val="00935816"/>
    <w:rsid w:val="00935A0C"/>
    <w:rsid w:val="0096528D"/>
    <w:rsid w:val="00986030"/>
    <w:rsid w:val="00995E3B"/>
    <w:rsid w:val="00996240"/>
    <w:rsid w:val="009A0A4E"/>
    <w:rsid w:val="009B01A4"/>
    <w:rsid w:val="009C1DB6"/>
    <w:rsid w:val="009E149B"/>
    <w:rsid w:val="009E1641"/>
    <w:rsid w:val="00A0578D"/>
    <w:rsid w:val="00A21BF6"/>
    <w:rsid w:val="00A3718C"/>
    <w:rsid w:val="00A41410"/>
    <w:rsid w:val="00A45D5E"/>
    <w:rsid w:val="00A6721D"/>
    <w:rsid w:val="00A91AA8"/>
    <w:rsid w:val="00AA6E80"/>
    <w:rsid w:val="00AC13F5"/>
    <w:rsid w:val="00AC575B"/>
    <w:rsid w:val="00AD1CDE"/>
    <w:rsid w:val="00AE65EB"/>
    <w:rsid w:val="00B02FCB"/>
    <w:rsid w:val="00B06C99"/>
    <w:rsid w:val="00B1266C"/>
    <w:rsid w:val="00B273D9"/>
    <w:rsid w:val="00B30A6E"/>
    <w:rsid w:val="00B337D1"/>
    <w:rsid w:val="00B41D7F"/>
    <w:rsid w:val="00B4688A"/>
    <w:rsid w:val="00B52781"/>
    <w:rsid w:val="00B5700B"/>
    <w:rsid w:val="00B82AE2"/>
    <w:rsid w:val="00B83BCF"/>
    <w:rsid w:val="00B90046"/>
    <w:rsid w:val="00B944A0"/>
    <w:rsid w:val="00BB24FE"/>
    <w:rsid w:val="00BB413E"/>
    <w:rsid w:val="00BE4BC1"/>
    <w:rsid w:val="00BE569A"/>
    <w:rsid w:val="00BF0364"/>
    <w:rsid w:val="00BF5A30"/>
    <w:rsid w:val="00BF7AF8"/>
    <w:rsid w:val="00C140DD"/>
    <w:rsid w:val="00C41329"/>
    <w:rsid w:val="00C4567F"/>
    <w:rsid w:val="00C715D0"/>
    <w:rsid w:val="00C81A5A"/>
    <w:rsid w:val="00C81F98"/>
    <w:rsid w:val="00C8611D"/>
    <w:rsid w:val="00C919E8"/>
    <w:rsid w:val="00CA2899"/>
    <w:rsid w:val="00CA69EF"/>
    <w:rsid w:val="00CA7B62"/>
    <w:rsid w:val="00CB3747"/>
    <w:rsid w:val="00CC018D"/>
    <w:rsid w:val="00CC44AC"/>
    <w:rsid w:val="00CC7871"/>
    <w:rsid w:val="00CD54A8"/>
    <w:rsid w:val="00CE5AFB"/>
    <w:rsid w:val="00D02048"/>
    <w:rsid w:val="00D043A9"/>
    <w:rsid w:val="00D10DE1"/>
    <w:rsid w:val="00D47124"/>
    <w:rsid w:val="00D56C47"/>
    <w:rsid w:val="00D942A4"/>
    <w:rsid w:val="00DB3FD5"/>
    <w:rsid w:val="00DB7136"/>
    <w:rsid w:val="00DC4A87"/>
    <w:rsid w:val="00E033E0"/>
    <w:rsid w:val="00E06BF6"/>
    <w:rsid w:val="00E20228"/>
    <w:rsid w:val="00E37B83"/>
    <w:rsid w:val="00E4186B"/>
    <w:rsid w:val="00E43FDD"/>
    <w:rsid w:val="00E46D2D"/>
    <w:rsid w:val="00E77D93"/>
    <w:rsid w:val="00E82847"/>
    <w:rsid w:val="00E856A0"/>
    <w:rsid w:val="00E95E13"/>
    <w:rsid w:val="00EA04DB"/>
    <w:rsid w:val="00EB496A"/>
    <w:rsid w:val="00EB5B73"/>
    <w:rsid w:val="00ED3EFA"/>
    <w:rsid w:val="00ED4BED"/>
    <w:rsid w:val="00ED691B"/>
    <w:rsid w:val="00EF4301"/>
    <w:rsid w:val="00EF5076"/>
    <w:rsid w:val="00F01A79"/>
    <w:rsid w:val="00F20D41"/>
    <w:rsid w:val="00F21C47"/>
    <w:rsid w:val="00F351C1"/>
    <w:rsid w:val="00F418B9"/>
    <w:rsid w:val="00F5105A"/>
    <w:rsid w:val="00F666BA"/>
    <w:rsid w:val="00F859E9"/>
    <w:rsid w:val="00F926E3"/>
    <w:rsid w:val="00F952AD"/>
    <w:rsid w:val="00FB4877"/>
    <w:rsid w:val="00FB6CEB"/>
    <w:rsid w:val="00FC0285"/>
    <w:rsid w:val="00FC20E7"/>
    <w:rsid w:val="00FC39C0"/>
    <w:rsid w:val="00FD34DC"/>
    <w:rsid w:val="00FD7412"/>
    <w:rsid w:val="00FE609F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1DA36"/>
  <w15:docId w15:val="{C17F5A0B-E7CD-463D-96C5-14A9682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CC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2346</Words>
  <Characters>13378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K Hollywood</cp:lastModifiedBy>
  <cp:revision>2</cp:revision>
  <cp:lastPrinted>2017-10-11T14:32:00Z</cp:lastPrinted>
  <dcterms:created xsi:type="dcterms:W3CDTF">2022-04-27T13:33:00Z</dcterms:created>
  <dcterms:modified xsi:type="dcterms:W3CDTF">2022-04-27T13:33:00Z</dcterms:modified>
</cp:coreProperties>
</file>